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C2AA8" w14:textId="77777777" w:rsidR="00661045" w:rsidRPr="007F6F3C" w:rsidRDefault="006D4B2B" w:rsidP="00FC4707">
      <w:pPr>
        <w:pStyle w:val="Heading1"/>
        <w:rPr>
          <w:rFonts w:cs="Times New Roman"/>
          <w:sz w:val="32"/>
        </w:rPr>
      </w:pPr>
      <w:r w:rsidRPr="007F6F3C">
        <w:rPr>
          <w:rFonts w:cs="Times New Roman"/>
          <w:sz w:val="32"/>
        </w:rPr>
        <w:t xml:space="preserve">Type or paste </w:t>
      </w:r>
      <w:r w:rsidR="00C14585" w:rsidRPr="007F6F3C">
        <w:rPr>
          <w:rFonts w:cs="Times New Roman"/>
          <w:sz w:val="32"/>
        </w:rPr>
        <w:t xml:space="preserve">the title of </w:t>
      </w:r>
      <w:r w:rsidRPr="007F6F3C">
        <w:rPr>
          <w:rFonts w:cs="Times New Roman"/>
          <w:sz w:val="32"/>
        </w:rPr>
        <w:t>your article here</w:t>
      </w:r>
    </w:p>
    <w:p w14:paraId="1267D383" w14:textId="58C2E4A4" w:rsidR="00C246C5" w:rsidRPr="007F6F3C" w:rsidRDefault="00C14585" w:rsidP="001E56B6">
      <w:pPr>
        <w:ind w:left="720"/>
      </w:pPr>
      <w:r w:rsidRPr="007F6F3C">
        <w:rPr>
          <w:i/>
          <w:iCs/>
        </w:rPr>
        <w:t>Author N</w:t>
      </w:r>
      <w:r w:rsidR="00997B0F" w:rsidRPr="007F6F3C">
        <w:rPr>
          <w:i/>
          <w:iCs/>
        </w:rPr>
        <w:t>ames</w:t>
      </w:r>
      <w:r w:rsidR="00350C0F" w:rsidRPr="007F6F3C">
        <w:rPr>
          <w:rStyle w:val="FootnoteReference"/>
        </w:rPr>
        <w:footnoteReference w:customMarkFollows="1" w:id="1"/>
        <w:sym w:font="Symbol" w:char="F02A"/>
      </w:r>
    </w:p>
    <w:p w14:paraId="5B799375" w14:textId="2904F008" w:rsidR="00BC64EB" w:rsidRPr="007F6F3C" w:rsidRDefault="00BC64EB" w:rsidP="0015289D">
      <w:pPr>
        <w:pStyle w:val="Heading3"/>
        <w:ind w:left="720"/>
        <w:rPr>
          <w:rFonts w:cs="Times New Roman"/>
          <w:b/>
          <w:bCs w:val="0"/>
          <w:i w:val="0"/>
          <w:iCs/>
        </w:rPr>
      </w:pPr>
      <w:r w:rsidRPr="007F6F3C">
        <w:rPr>
          <w:rFonts w:cs="Times New Roman"/>
          <w:b/>
          <w:bCs w:val="0"/>
          <w:i w:val="0"/>
          <w:iCs/>
        </w:rPr>
        <w:t xml:space="preserve">Abstract </w:t>
      </w:r>
    </w:p>
    <w:p w14:paraId="3429F253" w14:textId="474FCD08" w:rsidR="00266354" w:rsidRPr="007F6F3C" w:rsidRDefault="00997B0F" w:rsidP="004D2E36">
      <w:pPr>
        <w:pStyle w:val="Abstract"/>
        <w:spacing w:line="276" w:lineRule="auto"/>
        <w:ind w:left="0"/>
        <w:rPr>
          <w:sz w:val="20"/>
          <w:szCs w:val="20"/>
        </w:rPr>
      </w:pPr>
      <w:r w:rsidRPr="007F6F3C">
        <w:rPr>
          <w:sz w:val="20"/>
          <w:szCs w:val="20"/>
        </w:rPr>
        <w:t>T</w:t>
      </w:r>
      <w:r w:rsidR="00E07E14" w:rsidRPr="007F6F3C">
        <w:rPr>
          <w:sz w:val="20"/>
          <w:szCs w:val="20"/>
        </w:rPr>
        <w:t>ype or paste your abstract here as prescribed by the journal’s instructions for authors. Type or paste your abstract here as prescribed by the journal’s instructions for authors. Type or paste your abstract here as prescribed by the journal’s instructions for authors.</w:t>
      </w:r>
      <w:r w:rsidR="00E66188" w:rsidRPr="007F6F3C">
        <w:rPr>
          <w:sz w:val="20"/>
          <w:szCs w:val="20"/>
        </w:rPr>
        <w:t xml:space="preserve"> </w:t>
      </w:r>
      <w:r w:rsidR="00CA1F41" w:rsidRPr="007F6F3C">
        <w:rPr>
          <w:sz w:val="20"/>
          <w:szCs w:val="20"/>
        </w:rPr>
        <w:t>Type or paste your abstract here</w:t>
      </w:r>
      <w:r w:rsidR="00584738" w:rsidRPr="007F6F3C">
        <w:rPr>
          <w:sz w:val="20"/>
          <w:szCs w:val="20"/>
        </w:rPr>
        <w:t>.</w:t>
      </w:r>
    </w:p>
    <w:p w14:paraId="035A9364" w14:textId="77777777" w:rsidR="002F6307" w:rsidRPr="007F6F3C" w:rsidRDefault="00997B0F" w:rsidP="00F30DFF">
      <w:pPr>
        <w:pStyle w:val="Keywords"/>
        <w:rPr>
          <w:b/>
          <w:bCs/>
          <w:sz w:val="24"/>
        </w:rPr>
      </w:pPr>
      <w:r w:rsidRPr="007F6F3C">
        <w:rPr>
          <w:b/>
          <w:bCs/>
          <w:sz w:val="24"/>
        </w:rPr>
        <w:t>Keywords</w:t>
      </w:r>
    </w:p>
    <w:p w14:paraId="48423AA9" w14:textId="53A9EE2A" w:rsidR="0020415E" w:rsidRPr="007F6F3C" w:rsidRDefault="00997B0F" w:rsidP="00FC1AA8">
      <w:pPr>
        <w:pStyle w:val="Keywords"/>
        <w:ind w:left="0"/>
        <w:rPr>
          <w:sz w:val="20"/>
          <w:szCs w:val="20"/>
        </w:rPr>
      </w:pPr>
      <w:r w:rsidRPr="007F6F3C">
        <w:rPr>
          <w:sz w:val="20"/>
          <w:szCs w:val="20"/>
        </w:rPr>
        <w:t xml:space="preserve"> </w:t>
      </w:r>
      <w:r w:rsidR="00616BB4" w:rsidRPr="007F6F3C">
        <w:rPr>
          <w:sz w:val="20"/>
          <w:szCs w:val="20"/>
        </w:rPr>
        <w:t>W</w:t>
      </w:r>
      <w:r w:rsidRPr="007F6F3C">
        <w:rPr>
          <w:sz w:val="20"/>
          <w:szCs w:val="20"/>
        </w:rPr>
        <w:t>ord</w:t>
      </w:r>
      <w:r w:rsidR="00616BB4" w:rsidRPr="007F6F3C">
        <w:rPr>
          <w:sz w:val="20"/>
          <w:szCs w:val="20"/>
        </w:rPr>
        <w:t xml:space="preserve"> </w:t>
      </w:r>
      <w:r w:rsidR="004111DB" w:rsidRPr="007F6F3C">
        <w:rPr>
          <w:sz w:val="20"/>
          <w:szCs w:val="20"/>
        </w:rPr>
        <w:t>-</w:t>
      </w:r>
      <w:r w:rsidRPr="007F6F3C">
        <w:rPr>
          <w:sz w:val="20"/>
          <w:szCs w:val="20"/>
        </w:rPr>
        <w:t xml:space="preserve"> another word</w:t>
      </w:r>
      <w:r w:rsidR="004111DB" w:rsidRPr="007F6F3C">
        <w:rPr>
          <w:sz w:val="20"/>
          <w:szCs w:val="20"/>
        </w:rPr>
        <w:t xml:space="preserve"> -</w:t>
      </w:r>
      <w:r w:rsidRPr="007F6F3C">
        <w:rPr>
          <w:sz w:val="20"/>
          <w:szCs w:val="20"/>
        </w:rPr>
        <w:t xml:space="preserve"> lower case except names</w:t>
      </w:r>
    </w:p>
    <w:p w14:paraId="092EB594" w14:textId="14293F55" w:rsidR="00997B0F" w:rsidRPr="007F6F3C" w:rsidRDefault="000D0F59" w:rsidP="00106DAF">
      <w:pPr>
        <w:pStyle w:val="Heading1"/>
        <w:rPr>
          <w:rFonts w:cs="Times New Roman"/>
        </w:rPr>
      </w:pPr>
      <w:r w:rsidRPr="007F6F3C">
        <w:rPr>
          <w:rFonts w:cs="Times New Roman"/>
        </w:rPr>
        <w:t>1</w:t>
      </w:r>
      <w:r w:rsidRPr="007F6F3C">
        <w:rPr>
          <w:rFonts w:cs="Times New Roman"/>
        </w:rPr>
        <w:tab/>
      </w:r>
      <w:r w:rsidR="00DF5B84" w:rsidRPr="007F6F3C">
        <w:rPr>
          <w:rFonts w:cs="Times New Roman"/>
          <w:sz w:val="22"/>
          <w:szCs w:val="22"/>
        </w:rPr>
        <w:t>Heading 1: u</w:t>
      </w:r>
      <w:r w:rsidR="00997B0F" w:rsidRPr="007F6F3C">
        <w:rPr>
          <w:rFonts w:cs="Times New Roman"/>
          <w:sz w:val="22"/>
          <w:szCs w:val="22"/>
        </w:rPr>
        <w:t xml:space="preserve">se this </w:t>
      </w:r>
      <w:r w:rsidR="00A2199F" w:rsidRPr="007F6F3C">
        <w:rPr>
          <w:rFonts w:cs="Times New Roman"/>
          <w:sz w:val="22"/>
          <w:szCs w:val="22"/>
        </w:rPr>
        <w:t xml:space="preserve">style </w:t>
      </w:r>
      <w:r w:rsidR="00997B0F" w:rsidRPr="007F6F3C">
        <w:rPr>
          <w:rFonts w:cs="Times New Roman"/>
          <w:sz w:val="22"/>
          <w:szCs w:val="22"/>
        </w:rPr>
        <w:t>for le</w:t>
      </w:r>
      <w:r w:rsidR="00A2199F" w:rsidRPr="007F6F3C">
        <w:rPr>
          <w:rFonts w:cs="Times New Roman"/>
          <w:sz w:val="22"/>
          <w:szCs w:val="22"/>
        </w:rPr>
        <w:t>vel one headings</w:t>
      </w:r>
    </w:p>
    <w:p w14:paraId="5FF8919B" w14:textId="77777777" w:rsidR="00997B0F" w:rsidRPr="007F6F3C" w:rsidRDefault="00DD72E9" w:rsidP="007806B5">
      <w:pPr>
        <w:pStyle w:val="Paragraph"/>
        <w:spacing w:line="276" w:lineRule="auto"/>
        <w:rPr>
          <w:sz w:val="22"/>
          <w:szCs w:val="22"/>
        </w:rPr>
      </w:pPr>
      <w:r w:rsidRPr="007F6F3C">
        <w:rPr>
          <w:sz w:val="22"/>
          <w:szCs w:val="22"/>
        </w:rPr>
        <w:t xml:space="preserve">Paragraph: </w:t>
      </w:r>
      <w:r w:rsidR="007911FD" w:rsidRPr="007F6F3C">
        <w:rPr>
          <w:sz w:val="22"/>
          <w:szCs w:val="22"/>
        </w:rPr>
        <w:t xml:space="preserve">use </w:t>
      </w:r>
      <w:r w:rsidR="00630901" w:rsidRPr="007F6F3C">
        <w:rPr>
          <w:sz w:val="22"/>
          <w:szCs w:val="22"/>
        </w:rPr>
        <w:t xml:space="preserve">this </w:t>
      </w:r>
      <w:r w:rsidR="007911FD" w:rsidRPr="007F6F3C">
        <w:rPr>
          <w:sz w:val="22"/>
          <w:szCs w:val="22"/>
        </w:rPr>
        <w:t>for the first paragraph i</w:t>
      </w:r>
      <w:r w:rsidR="00630901" w:rsidRPr="007F6F3C">
        <w:rPr>
          <w:sz w:val="22"/>
          <w:szCs w:val="22"/>
        </w:rPr>
        <w:t xml:space="preserve">n </w:t>
      </w:r>
      <w:r w:rsidR="002E3C27" w:rsidRPr="007F6F3C">
        <w:rPr>
          <w:sz w:val="22"/>
          <w:szCs w:val="22"/>
        </w:rPr>
        <w:t>a</w:t>
      </w:r>
      <w:r w:rsidR="007911FD" w:rsidRPr="007F6F3C">
        <w:rPr>
          <w:sz w:val="22"/>
          <w:szCs w:val="22"/>
        </w:rPr>
        <w:t xml:space="preserve"> section</w:t>
      </w:r>
      <w:r w:rsidR="001E14E2" w:rsidRPr="007F6F3C">
        <w:rPr>
          <w:sz w:val="22"/>
          <w:szCs w:val="22"/>
        </w:rPr>
        <w:t>,</w:t>
      </w:r>
      <w:r w:rsidR="00630901" w:rsidRPr="007F6F3C">
        <w:rPr>
          <w:sz w:val="22"/>
          <w:szCs w:val="22"/>
        </w:rPr>
        <w:t xml:space="preserve"> or to continue after an extract</w:t>
      </w:r>
      <w:r w:rsidR="007911FD" w:rsidRPr="007F6F3C">
        <w:rPr>
          <w:sz w:val="22"/>
          <w:szCs w:val="22"/>
        </w:rPr>
        <w:t>.</w:t>
      </w:r>
    </w:p>
    <w:p w14:paraId="6DED0670" w14:textId="77777777" w:rsidR="008F1A64" w:rsidRDefault="00630901" w:rsidP="008F1A64">
      <w:pPr>
        <w:pStyle w:val="Newparagraph"/>
        <w:spacing w:line="276" w:lineRule="auto"/>
        <w:jc w:val="both"/>
        <w:rPr>
          <w:sz w:val="22"/>
          <w:szCs w:val="22"/>
        </w:rPr>
      </w:pPr>
      <w:r w:rsidRPr="008F1A64">
        <w:rPr>
          <w:sz w:val="22"/>
          <w:szCs w:val="22"/>
        </w:rPr>
        <w:t>New</w:t>
      </w:r>
      <w:r w:rsidR="00997B0F" w:rsidRPr="008F1A64">
        <w:rPr>
          <w:sz w:val="22"/>
          <w:szCs w:val="22"/>
        </w:rPr>
        <w:t xml:space="preserve"> paragraph</w:t>
      </w:r>
      <w:r w:rsidR="007911FD" w:rsidRPr="008F1A64">
        <w:rPr>
          <w:sz w:val="22"/>
          <w:szCs w:val="22"/>
        </w:rPr>
        <w:t xml:space="preserve">: use </w:t>
      </w:r>
      <w:r w:rsidRPr="008F1A64">
        <w:rPr>
          <w:sz w:val="22"/>
          <w:szCs w:val="22"/>
        </w:rPr>
        <w:t xml:space="preserve">this </w:t>
      </w:r>
      <w:r w:rsidR="003E64DF" w:rsidRPr="008F1A64">
        <w:rPr>
          <w:sz w:val="22"/>
          <w:szCs w:val="22"/>
        </w:rPr>
        <w:t xml:space="preserve">style </w:t>
      </w:r>
      <w:r w:rsidR="007035A4" w:rsidRPr="008F1A64">
        <w:rPr>
          <w:sz w:val="22"/>
          <w:szCs w:val="22"/>
        </w:rPr>
        <w:t xml:space="preserve">when you need to begin </w:t>
      </w:r>
      <w:r w:rsidRPr="008F1A64">
        <w:rPr>
          <w:sz w:val="22"/>
          <w:szCs w:val="22"/>
        </w:rPr>
        <w:t>a new paragraph</w:t>
      </w:r>
      <w:r w:rsidR="007911FD" w:rsidRPr="008F1A64">
        <w:rPr>
          <w:sz w:val="22"/>
          <w:szCs w:val="22"/>
        </w:rPr>
        <w:t>.</w:t>
      </w:r>
      <w:r w:rsidR="008F1A64" w:rsidRPr="008F1A64">
        <w:rPr>
          <w:sz w:val="22"/>
          <w:szCs w:val="22"/>
        </w:rPr>
        <w:t xml:space="preserve"> </w:t>
      </w:r>
    </w:p>
    <w:p w14:paraId="5677B82F" w14:textId="2A80BB30" w:rsidR="00B9626B" w:rsidRDefault="00AF7534" w:rsidP="00B9626B">
      <w:pPr>
        <w:pStyle w:val="Newparagraph"/>
        <w:spacing w:line="276" w:lineRule="auto"/>
        <w:jc w:val="both"/>
        <w:rPr>
          <w:rFonts w:eastAsia="Times New Roman"/>
          <w:color w:val="212529"/>
          <w:sz w:val="22"/>
          <w:szCs w:val="22"/>
          <w:lang w:val="en-AU"/>
        </w:rPr>
      </w:pPr>
      <w:r>
        <w:rPr>
          <w:rFonts w:eastAsia="Times New Roman"/>
          <w:color w:val="212529"/>
          <w:sz w:val="22"/>
          <w:szCs w:val="22"/>
          <w:lang w:val="en-AU"/>
        </w:rPr>
        <w:t xml:space="preserve">Under the Chicago Footnote Style, </w:t>
      </w:r>
      <w:r w:rsidR="000B0853">
        <w:rPr>
          <w:rFonts w:eastAsia="Times New Roman"/>
          <w:color w:val="212529"/>
          <w:sz w:val="22"/>
          <w:szCs w:val="22"/>
          <w:lang w:val="en-AU"/>
        </w:rPr>
        <w:t>this volume app</w:t>
      </w:r>
      <w:r w:rsidR="00902F06">
        <w:rPr>
          <w:rFonts w:eastAsia="Times New Roman"/>
          <w:color w:val="212529"/>
          <w:sz w:val="22"/>
          <w:szCs w:val="22"/>
          <w:lang w:val="en-AU"/>
        </w:rPr>
        <w:t>lies</w:t>
      </w:r>
      <w:r w:rsidR="000B0853">
        <w:rPr>
          <w:rFonts w:eastAsia="Times New Roman"/>
          <w:color w:val="212529"/>
          <w:sz w:val="22"/>
          <w:szCs w:val="22"/>
          <w:lang w:val="en-AU"/>
        </w:rPr>
        <w:t xml:space="preserve"> the following model footnotes for books, book chapters, journal articles, </w:t>
      </w:r>
      <w:r w:rsidR="00B9626B">
        <w:rPr>
          <w:rFonts w:eastAsia="Times New Roman"/>
          <w:color w:val="212529"/>
          <w:sz w:val="22"/>
          <w:szCs w:val="22"/>
          <w:lang w:val="en-AU"/>
        </w:rPr>
        <w:t xml:space="preserve">documents, </w:t>
      </w:r>
      <w:r w:rsidR="00EE277C">
        <w:rPr>
          <w:rFonts w:eastAsia="Times New Roman"/>
          <w:color w:val="212529"/>
          <w:sz w:val="22"/>
          <w:szCs w:val="22"/>
          <w:lang w:val="en-AU"/>
        </w:rPr>
        <w:t xml:space="preserve">website, </w:t>
      </w:r>
      <w:r w:rsidR="000B0853">
        <w:rPr>
          <w:rFonts w:eastAsia="Times New Roman"/>
          <w:color w:val="212529"/>
          <w:sz w:val="22"/>
          <w:szCs w:val="22"/>
          <w:lang w:val="en-AU"/>
        </w:rPr>
        <w:t>etc. There will be no bib</w:t>
      </w:r>
      <w:r w:rsidR="00112D19">
        <w:rPr>
          <w:rFonts w:eastAsia="Times New Roman"/>
          <w:color w:val="212529"/>
          <w:sz w:val="22"/>
          <w:szCs w:val="22"/>
          <w:lang w:val="en-AU"/>
        </w:rPr>
        <w:t>l</w:t>
      </w:r>
      <w:r w:rsidR="000B0853">
        <w:rPr>
          <w:rFonts w:eastAsia="Times New Roman"/>
          <w:color w:val="212529"/>
          <w:sz w:val="22"/>
          <w:szCs w:val="22"/>
          <w:lang w:val="en-AU"/>
        </w:rPr>
        <w:t>iography at the end of each article</w:t>
      </w:r>
      <w:r w:rsidR="00902F06">
        <w:rPr>
          <w:rFonts w:eastAsia="Times New Roman"/>
          <w:color w:val="212529"/>
          <w:sz w:val="22"/>
          <w:szCs w:val="22"/>
          <w:lang w:val="en-AU"/>
        </w:rPr>
        <w:t>.</w:t>
      </w:r>
      <w:r w:rsidR="000B0853">
        <w:rPr>
          <w:rFonts w:eastAsia="Times New Roman"/>
          <w:color w:val="212529"/>
          <w:sz w:val="22"/>
          <w:szCs w:val="22"/>
          <w:lang w:val="en-AU"/>
        </w:rPr>
        <w:t xml:space="preserve"> </w:t>
      </w:r>
      <w:r w:rsidR="00902F06">
        <w:rPr>
          <w:rFonts w:eastAsia="Times New Roman"/>
          <w:color w:val="212529"/>
          <w:sz w:val="22"/>
          <w:szCs w:val="22"/>
          <w:lang w:val="en-AU"/>
        </w:rPr>
        <w:t>Please use f</w:t>
      </w:r>
      <w:r w:rsidR="000B0853">
        <w:rPr>
          <w:rFonts w:eastAsia="Times New Roman"/>
          <w:color w:val="212529"/>
          <w:sz w:val="22"/>
          <w:szCs w:val="22"/>
          <w:lang w:val="en-AU"/>
        </w:rPr>
        <w:t>ull note style for first mention,</w:t>
      </w:r>
      <w:r w:rsidR="00112D19">
        <w:rPr>
          <w:rStyle w:val="FootnoteReference"/>
          <w:rFonts w:eastAsia="Times New Roman"/>
          <w:color w:val="212529"/>
          <w:sz w:val="22"/>
          <w:szCs w:val="22"/>
          <w:lang w:val="en-AU"/>
        </w:rPr>
        <w:footnoteReference w:id="2"/>
      </w:r>
      <w:r w:rsidR="000B0853">
        <w:rPr>
          <w:rFonts w:eastAsia="Times New Roman"/>
          <w:color w:val="212529"/>
          <w:sz w:val="22"/>
          <w:szCs w:val="22"/>
          <w:lang w:val="en-AU"/>
        </w:rPr>
        <w:t xml:space="preserve"> and short note style for subsequent mention</w:t>
      </w:r>
      <w:r w:rsidR="00B9626B">
        <w:rPr>
          <w:rFonts w:eastAsia="Times New Roman"/>
          <w:color w:val="212529"/>
          <w:sz w:val="22"/>
          <w:szCs w:val="22"/>
          <w:lang w:val="en-AU"/>
        </w:rPr>
        <w:t>,</w:t>
      </w:r>
      <w:r w:rsidR="00112D19">
        <w:rPr>
          <w:rStyle w:val="FootnoteReference"/>
          <w:rFonts w:eastAsia="Times New Roman"/>
          <w:color w:val="212529"/>
          <w:sz w:val="22"/>
          <w:szCs w:val="22"/>
          <w:lang w:val="en-AU"/>
        </w:rPr>
        <w:footnoteReference w:id="3"/>
      </w:r>
      <w:r w:rsidR="00B9626B">
        <w:rPr>
          <w:rFonts w:eastAsia="Times New Roman"/>
          <w:color w:val="212529"/>
          <w:sz w:val="22"/>
          <w:szCs w:val="22"/>
          <w:lang w:val="en-AU"/>
        </w:rPr>
        <w:t xml:space="preserve"> instead of “ibid”</w:t>
      </w:r>
      <w:r w:rsidR="002176F7">
        <w:rPr>
          <w:rFonts w:eastAsia="Times New Roman"/>
          <w:color w:val="212529"/>
          <w:sz w:val="22"/>
          <w:szCs w:val="22"/>
          <w:lang w:val="en-AU"/>
        </w:rPr>
        <w:t xml:space="preserve"> or “supra”</w:t>
      </w:r>
      <w:r w:rsidR="00B9626B">
        <w:rPr>
          <w:rFonts w:eastAsia="Times New Roman"/>
          <w:color w:val="212529"/>
          <w:sz w:val="22"/>
          <w:szCs w:val="22"/>
          <w:lang w:val="en-AU"/>
        </w:rPr>
        <w:t>.</w:t>
      </w:r>
      <w:r w:rsidR="00B001EB">
        <w:rPr>
          <w:rStyle w:val="FootnoteReference"/>
          <w:rFonts w:eastAsia="Times New Roman"/>
          <w:color w:val="212529"/>
          <w:sz w:val="22"/>
          <w:szCs w:val="22"/>
          <w:lang w:val="en-AU"/>
        </w:rPr>
        <w:footnoteReference w:id="4"/>
      </w:r>
    </w:p>
    <w:p w14:paraId="302441B2" w14:textId="77777777" w:rsidR="00B001EB" w:rsidRDefault="008F1A64" w:rsidP="00B9626B">
      <w:pPr>
        <w:pStyle w:val="Newparagraph"/>
        <w:spacing w:line="276" w:lineRule="auto"/>
        <w:jc w:val="both"/>
        <w:rPr>
          <w:rFonts w:eastAsia="Times New Roman"/>
          <w:color w:val="212529"/>
          <w:sz w:val="22"/>
          <w:szCs w:val="22"/>
          <w:lang w:val="en-AU"/>
        </w:rPr>
      </w:pPr>
      <w:r w:rsidRPr="008F1A64">
        <w:rPr>
          <w:rFonts w:eastAsia="Times New Roman"/>
          <w:color w:val="212529"/>
          <w:sz w:val="22"/>
          <w:szCs w:val="22"/>
          <w:lang w:val="en-AU"/>
        </w:rPr>
        <w:t>As a sign of our solidarity in these difficult times caused by COVID-19,</w:t>
      </w:r>
      <w:r w:rsidR="00112D19">
        <w:rPr>
          <w:rStyle w:val="FootnoteReference"/>
          <w:rFonts w:eastAsia="Times New Roman"/>
          <w:color w:val="212529"/>
          <w:sz w:val="22"/>
          <w:szCs w:val="22"/>
          <w:lang w:val="en-AU"/>
        </w:rPr>
        <w:footnoteReference w:id="5"/>
      </w:r>
      <w:r w:rsidRPr="008F1A64">
        <w:rPr>
          <w:rFonts w:eastAsia="Times New Roman"/>
          <w:color w:val="212529"/>
          <w:sz w:val="22"/>
          <w:szCs w:val="22"/>
          <w:lang w:val="en-AU"/>
        </w:rPr>
        <w:t xml:space="preserve"> the polar law scholars came together once again in 2020 to examine, in detail,</w:t>
      </w:r>
      <w:r w:rsidR="000B0853">
        <w:rPr>
          <w:rStyle w:val="FootnoteReference"/>
          <w:rFonts w:eastAsia="Times New Roman"/>
          <w:color w:val="212529"/>
          <w:sz w:val="22"/>
          <w:szCs w:val="22"/>
          <w:lang w:val="en-AU"/>
        </w:rPr>
        <w:footnoteReference w:id="6"/>
      </w:r>
      <w:r w:rsidRPr="008F1A64">
        <w:rPr>
          <w:rFonts w:eastAsia="Times New Roman"/>
          <w:color w:val="212529"/>
          <w:sz w:val="22"/>
          <w:szCs w:val="22"/>
          <w:lang w:val="en-AU"/>
        </w:rPr>
        <w:t xml:space="preserve"> the implications of the challenges faced by the Polar Regions for international law and policy and to make recommendations on appropriate actions to respond to these emerging and re-emerging challenges.</w:t>
      </w:r>
      <w:r w:rsidR="00AF7534">
        <w:rPr>
          <w:rStyle w:val="FootnoteReference"/>
          <w:rFonts w:eastAsia="Times New Roman"/>
          <w:color w:val="212529"/>
          <w:sz w:val="22"/>
          <w:szCs w:val="22"/>
          <w:lang w:val="en-AU"/>
        </w:rPr>
        <w:footnoteReference w:id="7"/>
      </w:r>
      <w:r w:rsidR="00B9626B">
        <w:rPr>
          <w:rFonts w:eastAsia="Times New Roman"/>
          <w:color w:val="212529"/>
          <w:sz w:val="22"/>
          <w:szCs w:val="22"/>
          <w:lang w:val="en-AU"/>
        </w:rPr>
        <w:t xml:space="preserve"> </w:t>
      </w:r>
    </w:p>
    <w:p w14:paraId="151F61F4" w14:textId="4B5A3421" w:rsidR="008F1A64" w:rsidRPr="009519AE" w:rsidRDefault="00B9626B" w:rsidP="00612FFC">
      <w:pPr>
        <w:pStyle w:val="Newparagraph"/>
        <w:spacing w:line="276" w:lineRule="auto"/>
        <w:jc w:val="both"/>
        <w:rPr>
          <w:rFonts w:eastAsia="Times New Roman"/>
          <w:color w:val="212529"/>
          <w:sz w:val="22"/>
          <w:szCs w:val="22"/>
          <w:lang w:val="en-AU"/>
        </w:rPr>
      </w:pPr>
      <w:r w:rsidRPr="00B9626B">
        <w:rPr>
          <w:rFonts w:eastAsia="MS PGothic"/>
          <w:color w:val="000000"/>
          <w:sz w:val="22"/>
          <w:szCs w:val="22"/>
          <w:shd w:val="clear" w:color="auto" w:fill="FFFFFF"/>
          <w:lang w:val="en-US" w:eastAsia="ja-JP"/>
        </w:rPr>
        <w:lastRenderedPageBreak/>
        <w:t>Journal articles often list many authors, especially in the sciences.</w:t>
      </w:r>
      <w:r>
        <w:rPr>
          <w:rStyle w:val="FootnoteReference"/>
          <w:rFonts w:eastAsia="MS PGothic"/>
          <w:color w:val="000000"/>
          <w:sz w:val="22"/>
          <w:szCs w:val="22"/>
          <w:shd w:val="clear" w:color="auto" w:fill="FFFFFF"/>
          <w:lang w:val="en-US" w:eastAsia="ja-JP"/>
        </w:rPr>
        <w:footnoteReference w:id="8"/>
      </w:r>
      <w:r w:rsidRPr="00B9626B">
        <w:rPr>
          <w:rFonts w:eastAsia="MS PGothic"/>
          <w:color w:val="000000"/>
          <w:sz w:val="22"/>
          <w:szCs w:val="22"/>
          <w:shd w:val="clear" w:color="auto" w:fill="FFFFFF"/>
          <w:lang w:val="en-US" w:eastAsia="ja-JP"/>
        </w:rPr>
        <w:t xml:space="preserve"> If there are four or more authors, in a note, list only the first, followed by </w:t>
      </w:r>
      <w:r w:rsidRPr="00B9626B">
        <w:rPr>
          <w:rFonts w:eastAsia="MS PGothic"/>
          <w:i/>
          <w:iCs/>
          <w:color w:val="000000"/>
          <w:sz w:val="22"/>
          <w:szCs w:val="22"/>
          <w:lang w:val="en-US" w:eastAsia="ja-JP"/>
        </w:rPr>
        <w:t>et al</w:t>
      </w:r>
      <w:r w:rsidRPr="00B9626B">
        <w:rPr>
          <w:rFonts w:eastAsia="MS PGothic"/>
          <w:color w:val="000000"/>
          <w:sz w:val="22"/>
          <w:szCs w:val="22"/>
          <w:lang w:val="en-US" w:eastAsia="ja-JP"/>
        </w:rPr>
        <w:t>.</w:t>
      </w:r>
      <w:r w:rsidRPr="00B9626B">
        <w:rPr>
          <w:rFonts w:eastAsia="MS PGothic"/>
          <w:color w:val="000000"/>
          <w:sz w:val="22"/>
          <w:szCs w:val="22"/>
          <w:shd w:val="clear" w:color="auto" w:fill="FFFFFF"/>
          <w:lang w:val="en-US" w:eastAsia="ja-JP"/>
        </w:rPr>
        <w:t> (“and others”).</w:t>
      </w:r>
      <w:r w:rsidR="00B001EB">
        <w:rPr>
          <w:rStyle w:val="FootnoteReference"/>
          <w:rFonts w:eastAsia="MS PGothic"/>
          <w:color w:val="000000"/>
          <w:sz w:val="22"/>
          <w:szCs w:val="22"/>
          <w:shd w:val="clear" w:color="auto" w:fill="FFFFFF"/>
          <w:lang w:val="en-US" w:eastAsia="ja-JP"/>
        </w:rPr>
        <w:footnoteReference w:id="9"/>
      </w:r>
      <w:r w:rsidR="00B001EB">
        <w:rPr>
          <w:rFonts w:eastAsia="MS PGothic"/>
          <w:color w:val="000000"/>
          <w:sz w:val="22"/>
          <w:szCs w:val="22"/>
          <w:shd w:val="clear" w:color="auto" w:fill="FFFFFF"/>
          <w:lang w:val="en-US" w:eastAsia="ja-JP"/>
        </w:rPr>
        <w:t xml:space="preserve"> United Nations material</w:t>
      </w:r>
      <w:r w:rsidR="00612FFC">
        <w:rPr>
          <w:rFonts w:eastAsia="MS PGothic"/>
          <w:color w:val="000000"/>
          <w:sz w:val="22"/>
          <w:szCs w:val="22"/>
          <w:shd w:val="clear" w:color="auto" w:fill="FFFFFF"/>
          <w:lang w:val="en-US" w:eastAsia="ja-JP"/>
        </w:rPr>
        <w:t>,</w:t>
      </w:r>
      <w:r w:rsidR="004E3156">
        <w:rPr>
          <w:rStyle w:val="FootnoteReference"/>
          <w:rFonts w:eastAsia="MS PGothic"/>
          <w:color w:val="000000"/>
          <w:sz w:val="22"/>
          <w:szCs w:val="22"/>
          <w:shd w:val="clear" w:color="auto" w:fill="FFFFFF"/>
          <w:lang w:val="en-US" w:eastAsia="ja-JP"/>
        </w:rPr>
        <w:footnoteReference w:id="10"/>
      </w:r>
      <w:r w:rsidR="00B001EB">
        <w:rPr>
          <w:rFonts w:eastAsia="MS PGothic"/>
          <w:color w:val="000000"/>
          <w:sz w:val="22"/>
          <w:szCs w:val="22"/>
          <w:shd w:val="clear" w:color="auto" w:fill="FFFFFF"/>
          <w:lang w:val="en-US" w:eastAsia="ja-JP"/>
        </w:rPr>
        <w:t xml:space="preserve"> </w:t>
      </w:r>
      <w:r w:rsidR="00612FFC">
        <w:rPr>
          <w:rFonts w:eastAsia="MS PGothic"/>
          <w:color w:val="000000"/>
          <w:sz w:val="22"/>
          <w:szCs w:val="22"/>
          <w:shd w:val="clear" w:color="auto" w:fill="FFFFFF"/>
          <w:lang w:val="en-US" w:eastAsia="ja-JP"/>
        </w:rPr>
        <w:t>international courts,</w:t>
      </w:r>
      <w:r w:rsidR="00612FFC">
        <w:rPr>
          <w:rStyle w:val="FootnoteReference"/>
          <w:rFonts w:eastAsia="MS PGothic"/>
          <w:color w:val="000000"/>
          <w:sz w:val="22"/>
          <w:szCs w:val="22"/>
          <w:shd w:val="clear" w:color="auto" w:fill="FFFFFF"/>
          <w:lang w:val="en-US" w:eastAsia="ja-JP"/>
        </w:rPr>
        <w:footnoteReference w:id="11"/>
      </w:r>
      <w:r w:rsidR="00612FFC">
        <w:rPr>
          <w:rFonts w:eastAsia="MS PGothic"/>
          <w:color w:val="000000"/>
          <w:sz w:val="22"/>
          <w:szCs w:val="22"/>
          <w:shd w:val="clear" w:color="auto" w:fill="FFFFFF"/>
          <w:lang w:val="en-US" w:eastAsia="ja-JP"/>
        </w:rPr>
        <w:t xml:space="preserve"> </w:t>
      </w:r>
      <w:r w:rsidR="00B001EB">
        <w:rPr>
          <w:rFonts w:eastAsia="MS PGothic"/>
          <w:color w:val="000000"/>
          <w:sz w:val="22"/>
          <w:szCs w:val="22"/>
          <w:shd w:val="clear" w:color="auto" w:fill="FFFFFF"/>
          <w:lang w:val="en-US" w:eastAsia="ja-JP"/>
        </w:rPr>
        <w:t xml:space="preserve">and other intergovernmental </w:t>
      </w:r>
      <w:r w:rsidR="004E3156">
        <w:rPr>
          <w:rFonts w:eastAsia="MS PGothic"/>
          <w:color w:val="000000"/>
          <w:sz w:val="22"/>
          <w:szCs w:val="22"/>
          <w:shd w:val="clear" w:color="auto" w:fill="FFFFFF"/>
          <w:lang w:val="en-US" w:eastAsia="ja-JP"/>
        </w:rPr>
        <w:t>material should be styled as</w:t>
      </w:r>
      <w:r w:rsidR="00612FFC">
        <w:rPr>
          <w:rFonts w:eastAsia="MS PGothic"/>
          <w:color w:val="000000"/>
          <w:sz w:val="22"/>
          <w:szCs w:val="22"/>
          <w:shd w:val="clear" w:color="auto" w:fill="FFFFFF"/>
          <w:lang w:val="en-US" w:eastAsia="ja-JP"/>
        </w:rPr>
        <w:t xml:space="preserve"> indicated</w:t>
      </w:r>
      <w:r w:rsidR="004E3156">
        <w:rPr>
          <w:rFonts w:eastAsia="MS PGothic"/>
          <w:color w:val="000000"/>
          <w:sz w:val="22"/>
          <w:szCs w:val="22"/>
          <w:shd w:val="clear" w:color="auto" w:fill="FFFFFF"/>
          <w:lang w:val="en-US" w:eastAsia="ja-JP"/>
        </w:rPr>
        <w:t>.</w:t>
      </w:r>
      <w:r w:rsidR="009519AE">
        <w:rPr>
          <w:rStyle w:val="FootnoteReference"/>
          <w:rFonts w:eastAsia="MS PGothic"/>
          <w:color w:val="000000"/>
          <w:sz w:val="22"/>
          <w:szCs w:val="22"/>
          <w:shd w:val="clear" w:color="auto" w:fill="FFFFFF"/>
          <w:lang w:val="en-US" w:eastAsia="ja-JP"/>
        </w:rPr>
        <w:footnoteReference w:id="12"/>
      </w:r>
      <w:r w:rsidR="004E3156">
        <w:rPr>
          <w:rFonts w:eastAsia="MS PGothic"/>
          <w:color w:val="000000"/>
          <w:sz w:val="22"/>
          <w:szCs w:val="22"/>
          <w:shd w:val="clear" w:color="auto" w:fill="FFFFFF"/>
          <w:lang w:val="en-US" w:eastAsia="ja-JP"/>
        </w:rPr>
        <w:t xml:space="preserve"> </w:t>
      </w:r>
      <w:r w:rsidR="00612FFC">
        <w:rPr>
          <w:rFonts w:eastAsia="MS PGothic"/>
          <w:color w:val="000000"/>
          <w:sz w:val="22"/>
          <w:szCs w:val="22"/>
          <w:shd w:val="clear" w:color="auto" w:fill="FFFFFF"/>
          <w:lang w:val="en-US" w:eastAsia="ja-JP"/>
        </w:rPr>
        <w:t>Treaties should cite United Nations Treaty Series where available.</w:t>
      </w:r>
      <w:r w:rsidR="00612FFC">
        <w:rPr>
          <w:rStyle w:val="FootnoteReference"/>
          <w:rFonts w:eastAsia="MS PGothic"/>
          <w:color w:val="000000"/>
          <w:sz w:val="22"/>
          <w:szCs w:val="22"/>
          <w:shd w:val="clear" w:color="auto" w:fill="FFFFFF"/>
          <w:lang w:val="en-US" w:eastAsia="ja-JP"/>
        </w:rPr>
        <w:footnoteReference w:id="13"/>
      </w:r>
      <w:r w:rsidR="00612FFC">
        <w:rPr>
          <w:rFonts w:eastAsia="MS PGothic"/>
          <w:color w:val="000000"/>
          <w:sz w:val="22"/>
          <w:szCs w:val="22"/>
          <w:shd w:val="clear" w:color="auto" w:fill="FFFFFF"/>
          <w:lang w:val="en-US" w:eastAsia="ja-JP"/>
        </w:rPr>
        <w:t xml:space="preserve"> </w:t>
      </w:r>
      <w:r w:rsidR="00612FFC">
        <w:rPr>
          <w:rFonts w:eastAsia="Times New Roman" w:hint="eastAsia"/>
          <w:color w:val="212529"/>
          <w:sz w:val="22"/>
          <w:szCs w:val="22"/>
          <w:lang w:val="en-AU"/>
        </w:rPr>
        <w:t>W</w:t>
      </w:r>
      <w:r w:rsidR="00612FFC">
        <w:rPr>
          <w:rFonts w:eastAsia="Times New Roman"/>
          <w:color w:val="212529"/>
          <w:sz w:val="22"/>
          <w:szCs w:val="22"/>
          <w:lang w:val="en-AU"/>
        </w:rPr>
        <w:t>ebsite material should be styled as such.</w:t>
      </w:r>
      <w:r w:rsidR="00612FFC" w:rsidRPr="00612FFC">
        <w:rPr>
          <w:rStyle w:val="FootnoteReference"/>
          <w:color w:val="212529"/>
          <w:sz w:val="22"/>
          <w:szCs w:val="22"/>
        </w:rPr>
        <w:t xml:space="preserve"> </w:t>
      </w:r>
      <w:r w:rsidR="00612FFC">
        <w:rPr>
          <w:rStyle w:val="FootnoteReference"/>
          <w:color w:val="212529"/>
          <w:sz w:val="22"/>
          <w:szCs w:val="22"/>
        </w:rPr>
        <w:footnoteReference w:id="14"/>
      </w:r>
      <w:r w:rsidR="009519AE">
        <w:rPr>
          <w:rStyle w:val="FootnoteReference"/>
          <w:color w:val="212529"/>
          <w:sz w:val="22"/>
          <w:szCs w:val="22"/>
          <w:vertAlign w:val="baseline"/>
        </w:rPr>
        <w:t xml:space="preserve">   It is utmost importan</w:t>
      </w:r>
      <w:r w:rsidR="00EE277C">
        <w:rPr>
          <w:rStyle w:val="FootnoteReference"/>
          <w:color w:val="212529"/>
          <w:sz w:val="22"/>
          <w:szCs w:val="22"/>
          <w:vertAlign w:val="baseline"/>
        </w:rPr>
        <w:t>ce</w:t>
      </w:r>
      <w:r w:rsidR="009519AE">
        <w:rPr>
          <w:rStyle w:val="FootnoteReference"/>
          <w:color w:val="212529"/>
          <w:sz w:val="22"/>
          <w:szCs w:val="22"/>
          <w:vertAlign w:val="baseline"/>
        </w:rPr>
        <w:t xml:space="preserve"> that the footnote styles are consistent within the same article, with full information (</w:t>
      </w:r>
      <w:r w:rsidR="002176F7">
        <w:rPr>
          <w:color w:val="212529"/>
          <w:sz w:val="22"/>
          <w:szCs w:val="22"/>
        </w:rPr>
        <w:t xml:space="preserve">full title of the documents, </w:t>
      </w:r>
      <w:r w:rsidR="009519AE">
        <w:rPr>
          <w:rStyle w:val="FootnoteReference"/>
          <w:color w:val="212529"/>
          <w:sz w:val="22"/>
          <w:szCs w:val="22"/>
          <w:vertAlign w:val="baseline"/>
        </w:rPr>
        <w:t xml:space="preserve">pages, dates, publication place, etc), so that the editors may </w:t>
      </w:r>
      <w:r w:rsidR="002176F7">
        <w:rPr>
          <w:color w:val="212529"/>
          <w:sz w:val="22"/>
          <w:szCs w:val="22"/>
        </w:rPr>
        <w:t xml:space="preserve">be </w:t>
      </w:r>
      <w:r w:rsidR="009519AE">
        <w:rPr>
          <w:rStyle w:val="FootnoteReference"/>
          <w:color w:val="212529"/>
          <w:sz w:val="22"/>
          <w:szCs w:val="22"/>
          <w:vertAlign w:val="baseline"/>
        </w:rPr>
        <w:t xml:space="preserve">able to </w:t>
      </w:r>
      <w:r w:rsidR="002176F7">
        <w:rPr>
          <w:color w:val="212529"/>
          <w:sz w:val="22"/>
          <w:szCs w:val="22"/>
        </w:rPr>
        <w:t xml:space="preserve">later </w:t>
      </w:r>
      <w:r w:rsidR="00EE277C">
        <w:rPr>
          <w:rStyle w:val="FootnoteReference"/>
          <w:color w:val="212529"/>
          <w:sz w:val="22"/>
          <w:szCs w:val="22"/>
          <w:vertAlign w:val="baseline"/>
        </w:rPr>
        <w:t>improve</w:t>
      </w:r>
      <w:r w:rsidR="002176F7">
        <w:rPr>
          <w:rStyle w:val="FootnoteReference"/>
          <w:color w:val="212529"/>
          <w:sz w:val="22"/>
          <w:szCs w:val="22"/>
          <w:vertAlign w:val="baseline"/>
        </w:rPr>
        <w:t xml:space="preserve"> the consistency using the information</w:t>
      </w:r>
      <w:r w:rsidR="002176F7">
        <w:rPr>
          <w:color w:val="212529"/>
          <w:sz w:val="22"/>
          <w:szCs w:val="22"/>
        </w:rPr>
        <w:t xml:space="preserve"> provided by the authors</w:t>
      </w:r>
      <w:r w:rsidR="002176F7">
        <w:rPr>
          <w:rStyle w:val="FootnoteReference"/>
          <w:color w:val="212529"/>
          <w:sz w:val="22"/>
          <w:szCs w:val="22"/>
          <w:vertAlign w:val="baseline"/>
        </w:rPr>
        <w:t>.</w:t>
      </w:r>
    </w:p>
    <w:p w14:paraId="39B549CC" w14:textId="77777777" w:rsidR="00CF2F4F" w:rsidRPr="007F6F3C" w:rsidRDefault="005E5E4A" w:rsidP="00343480">
      <w:pPr>
        <w:pStyle w:val="Bulletedlist"/>
        <w:rPr>
          <w:sz w:val="22"/>
          <w:szCs w:val="22"/>
        </w:rPr>
      </w:pPr>
      <w:r w:rsidRPr="007F6F3C">
        <w:rPr>
          <w:sz w:val="22"/>
          <w:szCs w:val="22"/>
        </w:rPr>
        <w:t>F</w:t>
      </w:r>
      <w:r w:rsidR="00C02863" w:rsidRPr="007F6F3C">
        <w:rPr>
          <w:sz w:val="22"/>
          <w:szCs w:val="22"/>
        </w:rPr>
        <w:t>or bulleted lists</w:t>
      </w:r>
    </w:p>
    <w:p w14:paraId="7ADCF165" w14:textId="77777777" w:rsidR="003B5673" w:rsidRPr="007F6F3C" w:rsidRDefault="00CF2F4F" w:rsidP="00CF0A1B">
      <w:pPr>
        <w:pStyle w:val="Numberedlist"/>
        <w:rPr>
          <w:sz w:val="22"/>
          <w:szCs w:val="22"/>
        </w:rPr>
      </w:pPr>
      <w:r w:rsidRPr="007F6F3C">
        <w:rPr>
          <w:sz w:val="22"/>
          <w:szCs w:val="22"/>
        </w:rPr>
        <w:t>For numbered lists</w:t>
      </w:r>
    </w:p>
    <w:p w14:paraId="05249E04" w14:textId="50564B94" w:rsidR="00FF6CE8" w:rsidRPr="00D61B94" w:rsidRDefault="008711B0" w:rsidP="00743EBA">
      <w:pPr>
        <w:pStyle w:val="Heading2"/>
        <w:rPr>
          <w:rFonts w:cs="Times New Roman"/>
        </w:rPr>
      </w:pPr>
      <w:r w:rsidRPr="007F6F3C">
        <w:rPr>
          <w:rFonts w:cs="Times New Roman"/>
        </w:rPr>
        <w:t>1.1</w:t>
      </w:r>
      <w:r w:rsidRPr="007F6F3C">
        <w:rPr>
          <w:rFonts w:cs="Times New Roman"/>
        </w:rPr>
        <w:tab/>
      </w:r>
      <w:r w:rsidR="00CF536D" w:rsidRPr="00D61B94">
        <w:rPr>
          <w:rFonts w:cs="Times New Roman"/>
          <w:sz w:val="22"/>
          <w:szCs w:val="22"/>
        </w:rPr>
        <w:t>Heading 2: u</w:t>
      </w:r>
      <w:r w:rsidR="00997B0F" w:rsidRPr="00D61B94">
        <w:rPr>
          <w:rFonts w:cs="Times New Roman"/>
          <w:sz w:val="22"/>
          <w:szCs w:val="22"/>
        </w:rPr>
        <w:t xml:space="preserve">se this </w:t>
      </w:r>
      <w:r w:rsidR="001B7CAE" w:rsidRPr="00D61B94">
        <w:rPr>
          <w:rFonts w:cs="Times New Roman"/>
          <w:sz w:val="22"/>
          <w:szCs w:val="22"/>
        </w:rPr>
        <w:t xml:space="preserve">style </w:t>
      </w:r>
      <w:r w:rsidR="00997B0F" w:rsidRPr="00D61B94">
        <w:rPr>
          <w:rFonts w:cs="Times New Roman"/>
          <w:sz w:val="22"/>
          <w:szCs w:val="22"/>
        </w:rPr>
        <w:t>for level two heading</w:t>
      </w:r>
      <w:r w:rsidR="001B7CAE" w:rsidRPr="00D61B94">
        <w:rPr>
          <w:rFonts w:cs="Times New Roman"/>
          <w:sz w:val="22"/>
          <w:szCs w:val="22"/>
        </w:rPr>
        <w:t>s</w:t>
      </w:r>
    </w:p>
    <w:p w14:paraId="3AACEF76" w14:textId="77777777" w:rsidR="001646A4" w:rsidRPr="007F6F3C" w:rsidRDefault="001646A4" w:rsidP="00100587">
      <w:pPr>
        <w:pStyle w:val="Acknowledgements"/>
      </w:pPr>
    </w:p>
    <w:p w14:paraId="07690B69" w14:textId="1C675F45" w:rsidR="00997B0F" w:rsidRPr="007F6F3C" w:rsidRDefault="00997B0F" w:rsidP="00100587">
      <w:pPr>
        <w:pStyle w:val="Acknowledgements"/>
        <w:rPr>
          <w:szCs w:val="22"/>
        </w:rPr>
      </w:pPr>
      <w:r w:rsidRPr="007F6F3C">
        <w:rPr>
          <w:szCs w:val="22"/>
        </w:rPr>
        <w:t>Acknowledgements</w:t>
      </w:r>
      <w:r w:rsidR="00161344" w:rsidRPr="007F6F3C">
        <w:rPr>
          <w:szCs w:val="22"/>
        </w:rPr>
        <w:t>, avoiding</w:t>
      </w:r>
      <w:r w:rsidR="00100587" w:rsidRPr="007F6F3C">
        <w:rPr>
          <w:szCs w:val="22"/>
        </w:rPr>
        <w:t xml:space="preserve"> identifying</w:t>
      </w:r>
      <w:r w:rsidR="00161344" w:rsidRPr="007F6F3C">
        <w:rPr>
          <w:szCs w:val="22"/>
        </w:rPr>
        <w:t xml:space="preserve"> any of the authors prior to peer review</w:t>
      </w:r>
    </w:p>
    <w:p w14:paraId="61F3B809" w14:textId="45537E1A" w:rsidR="00E66188" w:rsidRPr="007F6F3C" w:rsidRDefault="004E56A8" w:rsidP="003565D4">
      <w:pPr>
        <w:pStyle w:val="Tabletitle"/>
        <w:rPr>
          <w:sz w:val="22"/>
          <w:szCs w:val="22"/>
        </w:rPr>
      </w:pPr>
      <w:r w:rsidRPr="007F6F3C">
        <w:rPr>
          <w:sz w:val="22"/>
          <w:szCs w:val="22"/>
        </w:rPr>
        <w:t>Table 1. Type y</w:t>
      </w:r>
      <w:r w:rsidR="00997B0F" w:rsidRPr="007F6F3C">
        <w:rPr>
          <w:sz w:val="22"/>
          <w:szCs w:val="22"/>
        </w:rPr>
        <w:t>our title here.</w:t>
      </w:r>
    </w:p>
    <w:p w14:paraId="5DE80E2E" w14:textId="77777777" w:rsidR="00FE4713" w:rsidRPr="007F6F3C" w:rsidRDefault="004E56A8" w:rsidP="004D2E36">
      <w:pPr>
        <w:pStyle w:val="Figurecaption"/>
        <w:spacing w:line="276" w:lineRule="auto"/>
        <w:rPr>
          <w:sz w:val="22"/>
          <w:szCs w:val="22"/>
        </w:rPr>
      </w:pPr>
      <w:r w:rsidRPr="007F6F3C">
        <w:rPr>
          <w:sz w:val="22"/>
          <w:szCs w:val="22"/>
        </w:rPr>
        <w:t>Figure 1. Type y</w:t>
      </w:r>
      <w:r w:rsidR="00997B0F" w:rsidRPr="007F6F3C">
        <w:rPr>
          <w:sz w:val="22"/>
          <w:szCs w:val="22"/>
        </w:rPr>
        <w:t>our title here.</w:t>
      </w:r>
      <w:r w:rsidR="00481343" w:rsidRPr="007F6F3C">
        <w:rPr>
          <w:sz w:val="22"/>
          <w:szCs w:val="22"/>
        </w:rPr>
        <w:t xml:space="preserve"> Obtain permission and include the acknowledgement required by the copyright holder if a figure is being reproduced from another source.</w:t>
      </w:r>
    </w:p>
    <w:sectPr w:rsidR="00FE4713" w:rsidRPr="007F6F3C"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E9B58" w14:textId="77777777" w:rsidR="000413BC" w:rsidRDefault="000413BC" w:rsidP="00AF2C92">
      <w:r>
        <w:separator/>
      </w:r>
    </w:p>
  </w:endnote>
  <w:endnote w:type="continuationSeparator" w:id="0">
    <w:p w14:paraId="141C1345" w14:textId="77777777" w:rsidR="000413BC" w:rsidRDefault="000413BC"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45B07" w14:textId="77777777" w:rsidR="000413BC" w:rsidRDefault="000413BC" w:rsidP="00AF2C92">
      <w:r>
        <w:separator/>
      </w:r>
    </w:p>
  </w:footnote>
  <w:footnote w:type="continuationSeparator" w:id="0">
    <w:p w14:paraId="2AA5539B" w14:textId="77777777" w:rsidR="000413BC" w:rsidRDefault="000413BC" w:rsidP="00AF2C92">
      <w:r>
        <w:continuationSeparator/>
      </w:r>
    </w:p>
  </w:footnote>
  <w:footnote w:id="1">
    <w:p w14:paraId="77B11BD0" w14:textId="59059C94" w:rsidR="00350C0F" w:rsidRPr="00A718F0" w:rsidRDefault="00350C0F" w:rsidP="00FE3CF1">
      <w:pPr>
        <w:pStyle w:val="Affiliation"/>
        <w:spacing w:before="0" w:line="240" w:lineRule="auto"/>
        <w:rPr>
          <w:i w:val="0"/>
          <w:iCs/>
          <w:sz w:val="18"/>
          <w:szCs w:val="18"/>
        </w:rPr>
      </w:pPr>
      <w:r w:rsidRPr="00350C0F">
        <w:rPr>
          <w:rStyle w:val="FootnoteReference"/>
        </w:rPr>
        <w:sym w:font="Symbol" w:char="F02A"/>
      </w:r>
      <w:r>
        <w:t xml:space="preserve"> </w:t>
      </w:r>
      <w:r w:rsidR="00EC237F" w:rsidRPr="00A718F0">
        <w:rPr>
          <w:i w:val="0"/>
          <w:iCs/>
          <w:sz w:val="18"/>
          <w:szCs w:val="18"/>
        </w:rPr>
        <w:t>Position</w:t>
      </w:r>
      <w:r w:rsidR="00EC237F" w:rsidRPr="00A718F0">
        <w:rPr>
          <w:sz w:val="18"/>
          <w:szCs w:val="18"/>
        </w:rPr>
        <w:t>,</w:t>
      </w:r>
      <w:r w:rsidR="00FE3CF1" w:rsidRPr="00A718F0">
        <w:rPr>
          <w:sz w:val="18"/>
          <w:szCs w:val="18"/>
        </w:rPr>
        <w:t xml:space="preserve"> </w:t>
      </w:r>
      <w:r w:rsidRPr="00A718F0">
        <w:rPr>
          <w:i w:val="0"/>
          <w:iCs/>
          <w:sz w:val="18"/>
          <w:szCs w:val="18"/>
        </w:rPr>
        <w:t>Department, University, City, Country</w:t>
      </w:r>
      <w:r w:rsidR="00FE3CF1" w:rsidRPr="00A718F0">
        <w:rPr>
          <w:i w:val="0"/>
          <w:iCs/>
          <w:sz w:val="18"/>
          <w:szCs w:val="18"/>
        </w:rPr>
        <w:t>.</w:t>
      </w:r>
    </w:p>
    <w:p w14:paraId="6084EBB4" w14:textId="45033CEC" w:rsidR="00350C0F" w:rsidRPr="00A718F0" w:rsidRDefault="00350C0F" w:rsidP="00FE3CF1">
      <w:pPr>
        <w:pStyle w:val="Correspondencedetails"/>
        <w:spacing w:before="0" w:line="240" w:lineRule="auto"/>
        <w:rPr>
          <w:sz w:val="18"/>
          <w:szCs w:val="18"/>
        </w:rPr>
      </w:pPr>
      <w:r w:rsidRPr="00A718F0">
        <w:rPr>
          <w:sz w:val="18"/>
          <w:szCs w:val="18"/>
        </w:rPr>
        <w:t xml:space="preserve"> e-mail for the corresponding author</w:t>
      </w:r>
    </w:p>
    <w:p w14:paraId="4FBE3F6F" w14:textId="2258C07C" w:rsidR="00350C0F" w:rsidRPr="00350C0F" w:rsidRDefault="00350C0F" w:rsidP="00902F06">
      <w:pPr>
        <w:pStyle w:val="FootnoteText"/>
        <w:rPr>
          <w:lang w:val="en-US"/>
        </w:rPr>
      </w:pPr>
    </w:p>
  </w:footnote>
  <w:footnote w:id="2">
    <w:p w14:paraId="39EA6E9F" w14:textId="0F5B8CFC" w:rsidR="00112D19" w:rsidRPr="00902F06" w:rsidRDefault="00112D19" w:rsidP="00902F06">
      <w:pPr>
        <w:pStyle w:val="FootnoteText"/>
        <w:rPr>
          <w:sz w:val="18"/>
          <w:szCs w:val="18"/>
          <w:lang w:val="en-US"/>
        </w:rPr>
      </w:pPr>
      <w:r w:rsidRPr="00902F06">
        <w:rPr>
          <w:rStyle w:val="FootnoteReference"/>
          <w:sz w:val="18"/>
          <w:szCs w:val="18"/>
        </w:rPr>
        <w:footnoteRef/>
      </w:r>
      <w:r w:rsidRPr="00902F06">
        <w:rPr>
          <w:sz w:val="18"/>
          <w:szCs w:val="18"/>
        </w:rPr>
        <w:t xml:space="preserve"> </w:t>
      </w:r>
      <w:r w:rsidRPr="00902F06">
        <w:rPr>
          <w:sz w:val="18"/>
          <w:szCs w:val="18"/>
          <w:shd w:val="clear" w:color="auto" w:fill="FFFFFF"/>
          <w:lang w:val="en-US" w:eastAsia="ja-JP"/>
        </w:rPr>
        <w:t>Albert Einstein, </w:t>
      </w:r>
      <w:r w:rsidRPr="00902F06">
        <w:rPr>
          <w:i/>
          <w:iCs/>
          <w:sz w:val="18"/>
          <w:szCs w:val="18"/>
          <w:lang w:val="en-US" w:eastAsia="ja-JP"/>
        </w:rPr>
        <w:t>The Meaning of Relativity</w:t>
      </w:r>
      <w:r w:rsidRPr="00902F06">
        <w:rPr>
          <w:sz w:val="18"/>
          <w:szCs w:val="18"/>
          <w:shd w:val="clear" w:color="auto" w:fill="FFFFFF"/>
          <w:lang w:val="en-US" w:eastAsia="ja-JP"/>
        </w:rPr>
        <w:t> (Princeton: Princeton University Press, 1923), 44–45.</w:t>
      </w:r>
    </w:p>
  </w:footnote>
  <w:footnote w:id="3">
    <w:p w14:paraId="3137B092" w14:textId="605E8CE5" w:rsidR="00112D19" w:rsidRPr="00902F06" w:rsidRDefault="00112D19" w:rsidP="00902F06">
      <w:pPr>
        <w:pStyle w:val="FootnoteText"/>
        <w:rPr>
          <w:sz w:val="18"/>
          <w:szCs w:val="18"/>
          <w:lang w:val="en-US"/>
        </w:rPr>
      </w:pPr>
      <w:r w:rsidRPr="00902F06">
        <w:rPr>
          <w:rStyle w:val="FootnoteReference"/>
          <w:sz w:val="18"/>
          <w:szCs w:val="18"/>
        </w:rPr>
        <w:footnoteRef/>
      </w:r>
      <w:r w:rsidRPr="00902F06">
        <w:rPr>
          <w:sz w:val="18"/>
          <w:szCs w:val="18"/>
        </w:rPr>
        <w:t xml:space="preserve"> </w:t>
      </w:r>
      <w:r w:rsidRPr="00902F06">
        <w:rPr>
          <w:sz w:val="18"/>
          <w:szCs w:val="18"/>
          <w:shd w:val="clear" w:color="auto" w:fill="FFFFFF"/>
          <w:lang w:val="en-US" w:eastAsia="ja-JP"/>
        </w:rPr>
        <w:t>Einstein, </w:t>
      </w:r>
      <w:r w:rsidRPr="00B9626B">
        <w:rPr>
          <w:i/>
          <w:iCs/>
          <w:sz w:val="18"/>
          <w:szCs w:val="18"/>
          <w:lang w:val="en-US" w:eastAsia="ja-JP"/>
        </w:rPr>
        <w:t>The Meaning of Relativity</w:t>
      </w:r>
      <w:r w:rsidRPr="00902F06">
        <w:rPr>
          <w:sz w:val="18"/>
          <w:szCs w:val="18"/>
          <w:shd w:val="clear" w:color="auto" w:fill="FFFFFF"/>
          <w:lang w:val="en-US" w:eastAsia="ja-JP"/>
        </w:rPr>
        <w:t>, 89.</w:t>
      </w:r>
    </w:p>
  </w:footnote>
  <w:footnote w:id="4">
    <w:p w14:paraId="3C20FA77" w14:textId="056291A0" w:rsidR="00B001EB" w:rsidRPr="00B001EB" w:rsidRDefault="00B001EB" w:rsidP="00B001EB">
      <w:pPr>
        <w:spacing w:line="240" w:lineRule="auto"/>
        <w:rPr>
          <w:rFonts w:eastAsia="MS PGothic"/>
          <w:color w:val="000000" w:themeColor="text1"/>
          <w:sz w:val="18"/>
          <w:szCs w:val="18"/>
          <w:lang w:val="en-US" w:eastAsia="ja-JP"/>
        </w:rPr>
      </w:pPr>
      <w:r w:rsidRPr="00B001EB">
        <w:rPr>
          <w:rStyle w:val="FootnoteReference"/>
          <w:color w:val="000000" w:themeColor="text1"/>
          <w:sz w:val="18"/>
          <w:szCs w:val="18"/>
        </w:rPr>
        <w:footnoteRef/>
      </w:r>
      <w:r w:rsidRPr="00B001EB">
        <w:rPr>
          <w:color w:val="000000" w:themeColor="text1"/>
          <w:sz w:val="18"/>
          <w:szCs w:val="18"/>
        </w:rPr>
        <w:t xml:space="preserve"> </w:t>
      </w:r>
      <w:r w:rsidRPr="00B001EB">
        <w:rPr>
          <w:rFonts w:eastAsia="MS PGothic"/>
          <w:color w:val="000000" w:themeColor="text1"/>
          <w:sz w:val="18"/>
          <w:szCs w:val="18"/>
          <w:shd w:val="clear" w:color="auto" w:fill="FFFFFF"/>
          <w:lang w:val="en-US" w:eastAsia="ja-JP"/>
        </w:rPr>
        <w:t>John D’Agata, ed., </w:t>
      </w:r>
      <w:r w:rsidRPr="00B001EB">
        <w:rPr>
          <w:rFonts w:eastAsia="MS PGothic"/>
          <w:i/>
          <w:iCs/>
          <w:color w:val="000000" w:themeColor="text1"/>
          <w:sz w:val="18"/>
          <w:szCs w:val="18"/>
          <w:lang w:val="en-US" w:eastAsia="ja-JP"/>
        </w:rPr>
        <w:t>The Making of the American Essay</w:t>
      </w:r>
      <w:r w:rsidRPr="00B001EB">
        <w:rPr>
          <w:rFonts w:eastAsia="MS PGothic"/>
          <w:color w:val="000000" w:themeColor="text1"/>
          <w:sz w:val="18"/>
          <w:szCs w:val="18"/>
          <w:shd w:val="clear" w:color="auto" w:fill="FFFFFF"/>
          <w:lang w:val="en-US" w:eastAsia="ja-JP"/>
        </w:rPr>
        <w:t> (Minneapolis: Graywolf Press, 2016), 177–78.</w:t>
      </w:r>
    </w:p>
  </w:footnote>
  <w:footnote w:id="5">
    <w:p w14:paraId="169BDC3F" w14:textId="40BE520D" w:rsidR="00112D19" w:rsidRPr="00902F06" w:rsidRDefault="00112D19" w:rsidP="00902F06">
      <w:pPr>
        <w:pStyle w:val="FootnoteText"/>
        <w:ind w:left="0" w:firstLine="0"/>
        <w:rPr>
          <w:lang w:val="en-US"/>
        </w:rPr>
      </w:pPr>
      <w:r w:rsidRPr="00902F06">
        <w:rPr>
          <w:rStyle w:val="FootnoteReference"/>
          <w:sz w:val="18"/>
          <w:szCs w:val="18"/>
        </w:rPr>
        <w:footnoteRef/>
      </w:r>
      <w:r w:rsidRPr="00902F06">
        <w:rPr>
          <w:sz w:val="18"/>
          <w:szCs w:val="18"/>
        </w:rPr>
        <w:t xml:space="preserve"> </w:t>
      </w:r>
      <w:r w:rsidRPr="00902F06">
        <w:rPr>
          <w:sz w:val="18"/>
          <w:szCs w:val="18"/>
          <w:shd w:val="clear" w:color="auto" w:fill="F9F9FB"/>
          <w:lang w:val="en-US" w:eastAsia="ja-JP"/>
        </w:rPr>
        <w:t>Virginia Woolf, “Modern Fiction,” in </w:t>
      </w:r>
      <w:r w:rsidRPr="00902F06">
        <w:rPr>
          <w:i/>
          <w:iCs/>
          <w:sz w:val="18"/>
          <w:szCs w:val="18"/>
          <w:lang w:val="en-US" w:eastAsia="ja-JP"/>
        </w:rPr>
        <w:t>Selected Essays</w:t>
      </w:r>
      <w:r w:rsidRPr="00902F06">
        <w:rPr>
          <w:sz w:val="18"/>
          <w:szCs w:val="18"/>
          <w:shd w:val="clear" w:color="auto" w:fill="F9F9FB"/>
          <w:lang w:val="en-US" w:eastAsia="ja-JP"/>
        </w:rPr>
        <w:t>, ed. David Bradshaw (Oxford: Oxford University Press, 2008), 11.</w:t>
      </w:r>
    </w:p>
  </w:footnote>
  <w:footnote w:id="6">
    <w:p w14:paraId="1EE1F40B" w14:textId="1F14A3AA" w:rsidR="000B0853" w:rsidRPr="00902F06" w:rsidRDefault="000B0853" w:rsidP="00902F06">
      <w:pPr>
        <w:spacing w:line="276" w:lineRule="auto"/>
        <w:rPr>
          <w:rFonts w:eastAsia="MS PGothic"/>
          <w:color w:val="000000" w:themeColor="text1"/>
          <w:sz w:val="18"/>
          <w:szCs w:val="18"/>
          <w:lang w:val="en-US" w:eastAsia="ja-JP"/>
        </w:rPr>
      </w:pPr>
      <w:r w:rsidRPr="00902F06">
        <w:rPr>
          <w:rStyle w:val="FootnoteReference"/>
          <w:sz w:val="18"/>
          <w:szCs w:val="18"/>
        </w:rPr>
        <w:footnoteRef/>
      </w:r>
      <w:r w:rsidRPr="00902F06">
        <w:rPr>
          <w:sz w:val="18"/>
          <w:szCs w:val="18"/>
        </w:rPr>
        <w:t xml:space="preserve"> </w:t>
      </w:r>
      <w:r w:rsidR="00112D19" w:rsidRPr="00902F06">
        <w:rPr>
          <w:rFonts w:eastAsia="MS PGothic"/>
          <w:color w:val="000000" w:themeColor="text1"/>
          <w:sz w:val="18"/>
          <w:szCs w:val="18"/>
          <w:shd w:val="clear" w:color="auto" w:fill="FFFFFF"/>
          <w:lang w:val="en-US" w:eastAsia="ja-JP"/>
        </w:rPr>
        <w:t>Hannes Datta, “The Challenge of Retaining Customers Acquired with Free Trials,” </w:t>
      </w:r>
      <w:r w:rsidR="00112D19" w:rsidRPr="00902F06">
        <w:rPr>
          <w:rFonts w:eastAsia="MS PGothic"/>
          <w:i/>
          <w:iCs/>
          <w:color w:val="000000" w:themeColor="text1"/>
          <w:sz w:val="18"/>
          <w:szCs w:val="18"/>
          <w:lang w:val="en-US" w:eastAsia="ja-JP"/>
        </w:rPr>
        <w:t>Journal of Marketing Research</w:t>
      </w:r>
      <w:r w:rsidR="00112D19" w:rsidRPr="00902F06">
        <w:rPr>
          <w:rFonts w:eastAsia="MS PGothic"/>
          <w:color w:val="000000" w:themeColor="text1"/>
          <w:sz w:val="18"/>
          <w:szCs w:val="18"/>
          <w:shd w:val="clear" w:color="auto" w:fill="FFFFFF"/>
          <w:lang w:val="en-US" w:eastAsia="ja-JP"/>
        </w:rPr>
        <w:t> 52, no. 2 (2015): 220, www.jstor.org/stable/43832354.</w:t>
      </w:r>
    </w:p>
  </w:footnote>
  <w:footnote w:id="7">
    <w:p w14:paraId="446F7640" w14:textId="413874FD" w:rsidR="00AF7534" w:rsidRPr="00902F06" w:rsidRDefault="00AF7534" w:rsidP="00902F06">
      <w:pPr>
        <w:spacing w:line="276" w:lineRule="auto"/>
        <w:rPr>
          <w:rFonts w:eastAsia="MS PGothic"/>
          <w:color w:val="000000" w:themeColor="text1"/>
          <w:sz w:val="18"/>
          <w:szCs w:val="18"/>
          <w:lang w:val="en-US" w:eastAsia="ja-JP"/>
        </w:rPr>
      </w:pPr>
      <w:r w:rsidRPr="00902F06">
        <w:rPr>
          <w:rStyle w:val="FootnoteReference"/>
          <w:sz w:val="18"/>
          <w:szCs w:val="18"/>
        </w:rPr>
        <w:footnoteRef/>
      </w:r>
      <w:r w:rsidRPr="00902F06">
        <w:rPr>
          <w:sz w:val="18"/>
          <w:szCs w:val="18"/>
        </w:rPr>
        <w:t xml:space="preserve"> </w:t>
      </w:r>
      <w:r w:rsidR="00112D19" w:rsidRPr="00902F06">
        <w:rPr>
          <w:sz w:val="18"/>
          <w:szCs w:val="18"/>
        </w:rPr>
        <w:t xml:space="preserve">Datta, </w:t>
      </w:r>
      <w:r w:rsidR="00112D19" w:rsidRPr="00902F06">
        <w:rPr>
          <w:rFonts w:eastAsia="MS PGothic"/>
          <w:color w:val="000000" w:themeColor="text1"/>
          <w:sz w:val="18"/>
          <w:szCs w:val="18"/>
          <w:shd w:val="clear" w:color="auto" w:fill="FFFFFF"/>
          <w:lang w:val="en-US" w:eastAsia="ja-JP"/>
        </w:rPr>
        <w:t xml:space="preserve">“The Challenge of Retaining Customers Acquired with Free Trials,” </w:t>
      </w:r>
      <w:r w:rsidR="00902F06" w:rsidRPr="00902F06">
        <w:rPr>
          <w:rFonts w:eastAsia="MS PGothic"/>
          <w:color w:val="000000" w:themeColor="text1"/>
          <w:sz w:val="18"/>
          <w:szCs w:val="18"/>
          <w:shd w:val="clear" w:color="auto" w:fill="FFFFFF"/>
          <w:lang w:val="en-US" w:eastAsia="ja-JP"/>
        </w:rPr>
        <w:t>225.</w:t>
      </w:r>
    </w:p>
  </w:footnote>
  <w:footnote w:id="8">
    <w:p w14:paraId="53F7445B" w14:textId="3D945D14" w:rsidR="00B9626B" w:rsidRPr="00B001EB" w:rsidRDefault="00B9626B" w:rsidP="00B001EB">
      <w:pPr>
        <w:spacing w:line="240" w:lineRule="auto"/>
        <w:rPr>
          <w:rFonts w:eastAsia="MS PGothic"/>
          <w:color w:val="000000" w:themeColor="text1"/>
          <w:sz w:val="18"/>
          <w:szCs w:val="18"/>
          <w:lang w:val="en-US" w:eastAsia="ja-JP"/>
        </w:rPr>
      </w:pPr>
      <w:r w:rsidRPr="00B9626B">
        <w:rPr>
          <w:rStyle w:val="FootnoteReference"/>
          <w:sz w:val="18"/>
          <w:szCs w:val="18"/>
        </w:rPr>
        <w:footnoteRef/>
      </w:r>
      <w:r w:rsidRPr="00B9626B">
        <w:rPr>
          <w:sz w:val="18"/>
          <w:szCs w:val="18"/>
        </w:rPr>
        <w:t xml:space="preserve"> </w:t>
      </w:r>
      <w:r w:rsidRPr="00B9626B">
        <w:rPr>
          <w:rFonts w:eastAsia="MS PGothic"/>
          <w:color w:val="000000" w:themeColor="text1"/>
          <w:sz w:val="18"/>
          <w:szCs w:val="18"/>
          <w:shd w:val="clear" w:color="auto" w:fill="FFFFFF"/>
          <w:lang w:val="en-US" w:eastAsia="ja-JP"/>
        </w:rPr>
        <w:t>Shao-Hsun Keng, Chun-Hung Lin, and Peter F. Orazem, “Expanding College Access in Taiwan, 1978–2014: Effects on Graduate Quality and Income Inequality,” </w:t>
      </w:r>
      <w:r w:rsidRPr="00B9626B">
        <w:rPr>
          <w:rFonts w:eastAsia="MS PGothic"/>
          <w:i/>
          <w:iCs/>
          <w:color w:val="000000" w:themeColor="text1"/>
          <w:sz w:val="18"/>
          <w:szCs w:val="18"/>
          <w:lang w:val="en-US" w:eastAsia="ja-JP"/>
        </w:rPr>
        <w:t>Journal of Human Capital</w:t>
      </w:r>
      <w:r w:rsidRPr="00B9626B">
        <w:rPr>
          <w:rFonts w:eastAsia="MS PGothic"/>
          <w:color w:val="000000" w:themeColor="text1"/>
          <w:sz w:val="18"/>
          <w:szCs w:val="18"/>
          <w:shd w:val="clear" w:color="auto" w:fill="FFFFFF"/>
          <w:lang w:val="en-US" w:eastAsia="ja-JP"/>
        </w:rPr>
        <w:t> 11, no. 1 (Spring 2017): 9–10, https://doi.org/10.1086/690235.</w:t>
      </w:r>
    </w:p>
  </w:footnote>
  <w:footnote w:id="9">
    <w:p w14:paraId="24E27FF0" w14:textId="681F13FA" w:rsidR="00B001EB" w:rsidRPr="00B001EB" w:rsidRDefault="00B001EB" w:rsidP="00B001EB">
      <w:pPr>
        <w:spacing w:line="240" w:lineRule="auto"/>
        <w:rPr>
          <w:rFonts w:eastAsia="MS PGothic"/>
          <w:color w:val="000000" w:themeColor="text1"/>
          <w:sz w:val="18"/>
          <w:szCs w:val="18"/>
          <w:lang w:val="en-US" w:eastAsia="ja-JP"/>
        </w:rPr>
      </w:pPr>
      <w:r w:rsidRPr="00B001EB">
        <w:rPr>
          <w:rStyle w:val="FootnoteReference"/>
          <w:color w:val="000000" w:themeColor="text1"/>
          <w:sz w:val="18"/>
          <w:szCs w:val="18"/>
        </w:rPr>
        <w:footnoteRef/>
      </w:r>
      <w:r w:rsidRPr="00B001EB">
        <w:rPr>
          <w:color w:val="000000" w:themeColor="text1"/>
          <w:sz w:val="18"/>
          <w:szCs w:val="18"/>
        </w:rPr>
        <w:t xml:space="preserve"> </w:t>
      </w:r>
      <w:r w:rsidRPr="00B001EB">
        <w:rPr>
          <w:rFonts w:eastAsia="MS PGothic"/>
          <w:color w:val="000000" w:themeColor="text1"/>
          <w:sz w:val="18"/>
          <w:szCs w:val="18"/>
          <w:shd w:val="clear" w:color="auto" w:fill="FFFFFF"/>
          <w:lang w:val="en-US" w:eastAsia="ja-JP"/>
        </w:rPr>
        <w:t>Rachel A. Bay et al., “Predicting Responses to Contemporary Environmental Change Using Evolutionary Response Architectures,” </w:t>
      </w:r>
      <w:r w:rsidRPr="00B001EB">
        <w:rPr>
          <w:rFonts w:eastAsia="MS PGothic"/>
          <w:i/>
          <w:iCs/>
          <w:color w:val="000000" w:themeColor="text1"/>
          <w:sz w:val="18"/>
          <w:szCs w:val="18"/>
          <w:lang w:val="en-US" w:eastAsia="ja-JP"/>
        </w:rPr>
        <w:t>American Naturalist</w:t>
      </w:r>
      <w:r w:rsidRPr="00B001EB">
        <w:rPr>
          <w:rFonts w:eastAsia="MS PGothic"/>
          <w:color w:val="000000" w:themeColor="text1"/>
          <w:sz w:val="18"/>
          <w:szCs w:val="18"/>
          <w:shd w:val="clear" w:color="auto" w:fill="FFFFFF"/>
          <w:lang w:val="en-US" w:eastAsia="ja-JP"/>
        </w:rPr>
        <w:t> 189, no. 5 (May 2017): 465, https://doi.org/10.1086/691233.</w:t>
      </w:r>
    </w:p>
  </w:footnote>
  <w:footnote w:id="10">
    <w:p w14:paraId="4C582C34" w14:textId="678CE75A" w:rsidR="004E3156" w:rsidRPr="004E3156" w:rsidRDefault="004E3156" w:rsidP="004E3156">
      <w:pPr>
        <w:spacing w:line="240" w:lineRule="auto"/>
        <w:rPr>
          <w:rFonts w:eastAsia="MS PGothic"/>
          <w:sz w:val="18"/>
          <w:szCs w:val="18"/>
          <w:lang w:val="en-US" w:eastAsia="ja-JP"/>
        </w:rPr>
      </w:pPr>
      <w:r w:rsidRPr="004E3156">
        <w:rPr>
          <w:rStyle w:val="FootnoteReference"/>
          <w:sz w:val="18"/>
          <w:szCs w:val="18"/>
        </w:rPr>
        <w:footnoteRef/>
      </w:r>
      <w:r w:rsidRPr="004E3156">
        <w:rPr>
          <w:sz w:val="18"/>
          <w:szCs w:val="18"/>
        </w:rPr>
        <w:t xml:space="preserve"> </w:t>
      </w:r>
      <w:r w:rsidRPr="004E3156">
        <w:rPr>
          <w:rFonts w:eastAsia="MS PGothic"/>
          <w:color w:val="000000" w:themeColor="text1"/>
          <w:sz w:val="18"/>
          <w:szCs w:val="18"/>
          <w:shd w:val="clear" w:color="auto" w:fill="FFFFFF"/>
          <w:lang w:val="en-US" w:eastAsia="ja-JP"/>
        </w:rPr>
        <w:t>UN General Assembly, Resolution 67/18, Education for Democracy, A/RES/67/18 (Nov. 28, 2012), http://www.un.org/en/ga/67/resolutions.shtml.</w:t>
      </w:r>
    </w:p>
  </w:footnote>
  <w:footnote w:id="11">
    <w:p w14:paraId="20A63F33" w14:textId="6A0CDC51" w:rsidR="00612FFC" w:rsidRPr="00612FFC" w:rsidRDefault="00612FFC" w:rsidP="00612FFC">
      <w:pPr>
        <w:spacing w:line="240" w:lineRule="auto"/>
        <w:rPr>
          <w:rFonts w:eastAsia="MS PGothic"/>
          <w:sz w:val="18"/>
          <w:szCs w:val="18"/>
          <w:lang w:val="en-US" w:eastAsia="ja-JP"/>
        </w:rPr>
      </w:pPr>
      <w:r w:rsidRPr="00612FFC">
        <w:rPr>
          <w:rStyle w:val="FootnoteReference"/>
          <w:sz w:val="18"/>
          <w:szCs w:val="18"/>
        </w:rPr>
        <w:footnoteRef/>
      </w:r>
      <w:r w:rsidRPr="00612FFC">
        <w:rPr>
          <w:sz w:val="18"/>
          <w:szCs w:val="18"/>
        </w:rPr>
        <w:t xml:space="preserve"> </w:t>
      </w:r>
      <w:r w:rsidRPr="00612FFC">
        <w:rPr>
          <w:rFonts w:eastAsia="MS PGothic"/>
          <w:color w:val="333333"/>
          <w:sz w:val="18"/>
          <w:szCs w:val="18"/>
          <w:shd w:val="clear" w:color="auto" w:fill="FAFAFA"/>
          <w:lang w:val="en-US" w:eastAsia="ja-JP"/>
        </w:rPr>
        <w:t>Military and Paramilitary Activities in and Against Nicaragua (Nicar. v. U.S.), 1986 I.C.J.14, 181 (June</w:t>
      </w:r>
      <w:r w:rsidR="002176F7">
        <w:rPr>
          <w:rFonts w:eastAsia="MS PGothic"/>
          <w:color w:val="333333"/>
          <w:sz w:val="18"/>
          <w:szCs w:val="18"/>
          <w:shd w:val="clear" w:color="auto" w:fill="FAFAFA"/>
          <w:lang w:val="en-US" w:eastAsia="ja-JP"/>
        </w:rPr>
        <w:t xml:space="preserve"> </w:t>
      </w:r>
      <w:r w:rsidRPr="00612FFC">
        <w:rPr>
          <w:rFonts w:eastAsia="MS PGothic"/>
          <w:color w:val="333333"/>
          <w:sz w:val="18"/>
          <w:szCs w:val="18"/>
          <w:shd w:val="clear" w:color="auto" w:fill="FAFAFA"/>
          <w:lang w:val="en-US" w:eastAsia="ja-JP"/>
        </w:rPr>
        <w:t>27)</w:t>
      </w:r>
      <w:r>
        <w:rPr>
          <w:rFonts w:eastAsia="MS PGothic"/>
          <w:color w:val="333333"/>
          <w:sz w:val="18"/>
          <w:szCs w:val="18"/>
          <w:shd w:val="clear" w:color="auto" w:fill="FAFAFA"/>
          <w:lang w:val="en-US" w:eastAsia="ja-JP"/>
        </w:rPr>
        <w:t xml:space="preserve"> </w:t>
      </w:r>
      <w:r w:rsidRPr="00612FFC">
        <w:rPr>
          <w:rFonts w:eastAsia="MS PGothic"/>
          <w:color w:val="333333"/>
          <w:sz w:val="18"/>
          <w:szCs w:val="18"/>
          <w:shd w:val="clear" w:color="auto" w:fill="FAFAFA"/>
          <w:lang w:val="en-US" w:eastAsia="ja-JP"/>
        </w:rPr>
        <w:t>(separate opinion of Judge Ago).</w:t>
      </w:r>
      <w:r w:rsidR="009519AE">
        <w:rPr>
          <w:rFonts w:eastAsia="MS PGothic"/>
          <w:color w:val="333333"/>
          <w:sz w:val="18"/>
          <w:szCs w:val="18"/>
          <w:shd w:val="clear" w:color="auto" w:fill="FAFAFA"/>
          <w:lang w:val="en-US" w:eastAsia="ja-JP"/>
        </w:rPr>
        <w:t xml:space="preserve"> </w:t>
      </w:r>
    </w:p>
  </w:footnote>
  <w:footnote w:id="12">
    <w:p w14:paraId="78C581AB" w14:textId="75FA0CE6" w:rsidR="009519AE" w:rsidRPr="009519AE" w:rsidRDefault="009519AE" w:rsidP="009519AE">
      <w:pPr>
        <w:pStyle w:val="FootnoteText"/>
        <w:ind w:left="0" w:firstLine="0"/>
        <w:rPr>
          <w:sz w:val="18"/>
          <w:szCs w:val="18"/>
        </w:rPr>
      </w:pPr>
      <w:r w:rsidRPr="009519AE">
        <w:rPr>
          <w:rStyle w:val="FootnoteReference"/>
          <w:sz w:val="18"/>
          <w:szCs w:val="18"/>
        </w:rPr>
        <w:footnoteRef/>
      </w:r>
      <w:r w:rsidRPr="009519AE">
        <w:rPr>
          <w:sz w:val="18"/>
          <w:szCs w:val="18"/>
        </w:rPr>
        <w:t xml:space="preserve"> </w:t>
      </w:r>
      <w:r w:rsidRPr="009519AE">
        <w:rPr>
          <w:rFonts w:eastAsia="MS PGothic"/>
          <w:sz w:val="18"/>
          <w:szCs w:val="18"/>
          <w:lang w:val="en-US" w:eastAsia="ja-JP"/>
        </w:rPr>
        <w:t xml:space="preserve">World Bank, </w:t>
      </w:r>
      <w:r w:rsidRPr="009519AE">
        <w:rPr>
          <w:rFonts w:eastAsia="MS PGothic"/>
          <w:i/>
          <w:iCs/>
          <w:sz w:val="18"/>
          <w:szCs w:val="18"/>
          <w:lang w:val="en-US" w:eastAsia="ja-JP"/>
        </w:rPr>
        <w:t xml:space="preserve">World Development Report 2018: Learning to Realize Education’s Promise </w:t>
      </w:r>
      <w:r w:rsidRPr="009519AE">
        <w:rPr>
          <w:rFonts w:eastAsia="MS PGothic"/>
          <w:sz w:val="18"/>
          <w:szCs w:val="18"/>
          <w:lang w:val="en-US" w:eastAsia="ja-JP"/>
        </w:rPr>
        <w:t>(Washington, DC: World Bank, 2018), 42, https://doi.org/10.1596/978-1-4648-1096-1.</w:t>
      </w:r>
    </w:p>
  </w:footnote>
  <w:footnote w:id="13">
    <w:p w14:paraId="6CFF096A" w14:textId="235C01B8" w:rsidR="00612FFC" w:rsidRPr="00612FFC" w:rsidRDefault="00612FFC" w:rsidP="00612FFC">
      <w:pPr>
        <w:spacing w:line="240" w:lineRule="auto"/>
        <w:rPr>
          <w:rFonts w:eastAsia="MS PGothic"/>
          <w:sz w:val="18"/>
          <w:szCs w:val="18"/>
          <w:lang w:val="en-US" w:eastAsia="ja-JP"/>
        </w:rPr>
      </w:pPr>
      <w:r w:rsidRPr="00612FFC">
        <w:rPr>
          <w:rStyle w:val="FootnoteReference"/>
          <w:sz w:val="18"/>
          <w:szCs w:val="18"/>
        </w:rPr>
        <w:footnoteRef/>
      </w:r>
      <w:r w:rsidRPr="00612FFC">
        <w:rPr>
          <w:sz w:val="18"/>
          <w:szCs w:val="18"/>
        </w:rPr>
        <w:t xml:space="preserve"> </w:t>
      </w:r>
      <w:r w:rsidRPr="00612FFC">
        <w:rPr>
          <w:rFonts w:eastAsia="MS PGothic"/>
          <w:color w:val="333333"/>
          <w:sz w:val="18"/>
          <w:szCs w:val="18"/>
          <w:shd w:val="clear" w:color="auto" w:fill="FFFFFF"/>
          <w:lang w:val="en-US" w:eastAsia="ja-JP"/>
        </w:rPr>
        <w:t>Statute of the International Tribunal for the Law of the Sea, Dec. 10, 1982, 1833 U.N.T.S. 561.</w:t>
      </w:r>
    </w:p>
  </w:footnote>
  <w:footnote w:id="14">
    <w:p w14:paraId="64E9ADD7" w14:textId="77777777" w:rsidR="00612FFC" w:rsidRPr="00902F06" w:rsidRDefault="00612FFC" w:rsidP="00612FFC">
      <w:pPr>
        <w:spacing w:line="240" w:lineRule="auto"/>
        <w:rPr>
          <w:rFonts w:eastAsia="MS PGothic"/>
          <w:color w:val="000000" w:themeColor="text1"/>
          <w:sz w:val="18"/>
          <w:szCs w:val="18"/>
          <w:lang w:val="en-US" w:eastAsia="ja-JP"/>
        </w:rPr>
      </w:pPr>
      <w:r w:rsidRPr="00902F06">
        <w:rPr>
          <w:rStyle w:val="FootnoteReference"/>
          <w:color w:val="000000" w:themeColor="text1"/>
          <w:sz w:val="18"/>
          <w:szCs w:val="18"/>
        </w:rPr>
        <w:footnoteRef/>
      </w:r>
      <w:r w:rsidRPr="00902F06">
        <w:rPr>
          <w:color w:val="000000" w:themeColor="text1"/>
          <w:sz w:val="18"/>
          <w:szCs w:val="18"/>
        </w:rPr>
        <w:t xml:space="preserve"> </w:t>
      </w:r>
      <w:r w:rsidRPr="00902F06">
        <w:rPr>
          <w:rFonts w:eastAsia="MS PGothic"/>
          <w:color w:val="000000" w:themeColor="text1"/>
          <w:sz w:val="18"/>
          <w:szCs w:val="18"/>
          <w:shd w:val="clear" w:color="auto" w:fill="FFFFFF"/>
          <w:lang w:val="en-US" w:eastAsia="ja-JP"/>
        </w:rPr>
        <w:t xml:space="preserve">“About the </w:t>
      </w:r>
      <w:proofErr w:type="spellStart"/>
      <w:r w:rsidRPr="00902F06">
        <w:rPr>
          <w:rFonts w:eastAsia="MS PGothic"/>
          <w:color w:val="000000" w:themeColor="text1"/>
          <w:sz w:val="18"/>
          <w:szCs w:val="18"/>
          <w:shd w:val="clear" w:color="auto" w:fill="FFFFFF"/>
          <w:lang w:val="en-US" w:eastAsia="ja-JP"/>
        </w:rPr>
        <w:t>UvA</w:t>
      </w:r>
      <w:proofErr w:type="spellEnd"/>
      <w:r w:rsidRPr="00902F06">
        <w:rPr>
          <w:rFonts w:eastAsia="MS PGothic"/>
          <w:color w:val="000000" w:themeColor="text1"/>
          <w:sz w:val="18"/>
          <w:szCs w:val="18"/>
          <w:shd w:val="clear" w:color="auto" w:fill="FFFFFF"/>
          <w:lang w:val="en-US" w:eastAsia="ja-JP"/>
        </w:rPr>
        <w:t>,” University of Amsterdam, accessed July 24, 2018, http://www.uva.nl/en/about-the-uva.</w:t>
      </w:r>
    </w:p>
    <w:p w14:paraId="73BEF32F" w14:textId="77777777" w:rsidR="00612FFC" w:rsidRPr="00902F06" w:rsidRDefault="00612FFC" w:rsidP="00612FFC">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84364906">
    <w:abstractNumId w:val="15"/>
  </w:num>
  <w:num w:numId="2" w16cid:durableId="333071936">
    <w:abstractNumId w:val="19"/>
  </w:num>
  <w:num w:numId="3" w16cid:durableId="1580214055">
    <w:abstractNumId w:val="1"/>
  </w:num>
  <w:num w:numId="4" w16cid:durableId="1194998310">
    <w:abstractNumId w:val="2"/>
  </w:num>
  <w:num w:numId="5" w16cid:durableId="498664310">
    <w:abstractNumId w:val="3"/>
  </w:num>
  <w:num w:numId="6" w16cid:durableId="546648539">
    <w:abstractNumId w:val="4"/>
  </w:num>
  <w:num w:numId="7" w16cid:durableId="1110853087">
    <w:abstractNumId w:val="9"/>
  </w:num>
  <w:num w:numId="8" w16cid:durableId="76097692">
    <w:abstractNumId w:val="5"/>
  </w:num>
  <w:num w:numId="9" w16cid:durableId="1022627315">
    <w:abstractNumId w:val="7"/>
  </w:num>
  <w:num w:numId="10" w16cid:durableId="836581915">
    <w:abstractNumId w:val="6"/>
  </w:num>
  <w:num w:numId="11" w16cid:durableId="537284054">
    <w:abstractNumId w:val="10"/>
  </w:num>
  <w:num w:numId="12" w16cid:durableId="1995528720">
    <w:abstractNumId w:val="8"/>
  </w:num>
  <w:num w:numId="13" w16cid:durableId="197620256">
    <w:abstractNumId w:val="17"/>
  </w:num>
  <w:num w:numId="14" w16cid:durableId="1097556053">
    <w:abstractNumId w:val="20"/>
  </w:num>
  <w:num w:numId="15" w16cid:durableId="976640791">
    <w:abstractNumId w:val="14"/>
  </w:num>
  <w:num w:numId="16" w16cid:durableId="1317149503">
    <w:abstractNumId w:val="16"/>
  </w:num>
  <w:num w:numId="17" w16cid:durableId="272715907">
    <w:abstractNumId w:val="11"/>
  </w:num>
  <w:num w:numId="18" w16cid:durableId="393312971">
    <w:abstractNumId w:val="0"/>
  </w:num>
  <w:num w:numId="19" w16cid:durableId="169872451">
    <w:abstractNumId w:val="12"/>
  </w:num>
  <w:num w:numId="20" w16cid:durableId="1665351307">
    <w:abstractNumId w:val="20"/>
  </w:num>
  <w:num w:numId="21" w16cid:durableId="1666083451">
    <w:abstractNumId w:val="20"/>
  </w:num>
  <w:num w:numId="22" w16cid:durableId="446659099">
    <w:abstractNumId w:val="20"/>
  </w:num>
  <w:num w:numId="23" w16cid:durableId="700326049">
    <w:abstractNumId w:val="20"/>
  </w:num>
  <w:num w:numId="24" w16cid:durableId="630984911">
    <w:abstractNumId w:val="17"/>
  </w:num>
  <w:num w:numId="25" w16cid:durableId="452016721">
    <w:abstractNumId w:val="18"/>
  </w:num>
  <w:num w:numId="26" w16cid:durableId="905149551">
    <w:abstractNumId w:val="21"/>
  </w:num>
  <w:num w:numId="27" w16cid:durableId="1730110382">
    <w:abstractNumId w:val="22"/>
  </w:num>
  <w:num w:numId="28" w16cid:durableId="1886141583">
    <w:abstractNumId w:val="20"/>
  </w:num>
  <w:num w:numId="29" w16cid:durableId="778138074">
    <w:abstractNumId w:val="13"/>
  </w:num>
  <w:num w:numId="30" w16cid:durableId="12733245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F9"/>
    <w:rsid w:val="00001899"/>
    <w:rsid w:val="000049AD"/>
    <w:rsid w:val="0000681B"/>
    <w:rsid w:val="000133C0"/>
    <w:rsid w:val="00014C4E"/>
    <w:rsid w:val="00017107"/>
    <w:rsid w:val="000202E2"/>
    <w:rsid w:val="00022441"/>
    <w:rsid w:val="0002261E"/>
    <w:rsid w:val="00024839"/>
    <w:rsid w:val="00026871"/>
    <w:rsid w:val="00037A98"/>
    <w:rsid w:val="000413BC"/>
    <w:rsid w:val="000427FB"/>
    <w:rsid w:val="0004455E"/>
    <w:rsid w:val="00047CB5"/>
    <w:rsid w:val="00051FAA"/>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0853"/>
    <w:rsid w:val="000B1661"/>
    <w:rsid w:val="000B2E88"/>
    <w:rsid w:val="000B4603"/>
    <w:rsid w:val="000C09BE"/>
    <w:rsid w:val="000C1380"/>
    <w:rsid w:val="000C554F"/>
    <w:rsid w:val="000D0DC5"/>
    <w:rsid w:val="000D0F59"/>
    <w:rsid w:val="000D15FF"/>
    <w:rsid w:val="000D28DF"/>
    <w:rsid w:val="000D488B"/>
    <w:rsid w:val="000D68DF"/>
    <w:rsid w:val="000E138D"/>
    <w:rsid w:val="000E187A"/>
    <w:rsid w:val="000E2D61"/>
    <w:rsid w:val="000E450E"/>
    <w:rsid w:val="000E6259"/>
    <w:rsid w:val="000F42DA"/>
    <w:rsid w:val="000F4677"/>
    <w:rsid w:val="000F5BE0"/>
    <w:rsid w:val="00100587"/>
    <w:rsid w:val="0010284E"/>
    <w:rsid w:val="00103122"/>
    <w:rsid w:val="0010336A"/>
    <w:rsid w:val="001050F1"/>
    <w:rsid w:val="00105AEA"/>
    <w:rsid w:val="00106DAF"/>
    <w:rsid w:val="00112D19"/>
    <w:rsid w:val="00114ABE"/>
    <w:rsid w:val="00116023"/>
    <w:rsid w:val="00134A51"/>
    <w:rsid w:val="00140727"/>
    <w:rsid w:val="0014554F"/>
    <w:rsid w:val="0015289D"/>
    <w:rsid w:val="00160628"/>
    <w:rsid w:val="00161344"/>
    <w:rsid w:val="00162195"/>
    <w:rsid w:val="00162E2A"/>
    <w:rsid w:val="0016322A"/>
    <w:rsid w:val="001646A4"/>
    <w:rsid w:val="00165A21"/>
    <w:rsid w:val="001705CE"/>
    <w:rsid w:val="0017714B"/>
    <w:rsid w:val="001804DF"/>
    <w:rsid w:val="00181BDC"/>
    <w:rsid w:val="00181DB0"/>
    <w:rsid w:val="001829E3"/>
    <w:rsid w:val="00187B0B"/>
    <w:rsid w:val="001924C0"/>
    <w:rsid w:val="0019731E"/>
    <w:rsid w:val="001A09FE"/>
    <w:rsid w:val="001A5595"/>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56B6"/>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176F7"/>
    <w:rsid w:val="00236F4B"/>
    <w:rsid w:val="00242B0D"/>
    <w:rsid w:val="002467C6"/>
    <w:rsid w:val="0024692A"/>
    <w:rsid w:val="00252BBA"/>
    <w:rsid w:val="00253123"/>
    <w:rsid w:val="00264001"/>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2F6307"/>
    <w:rsid w:val="00315713"/>
    <w:rsid w:val="0031686C"/>
    <w:rsid w:val="00316FE0"/>
    <w:rsid w:val="003204D2"/>
    <w:rsid w:val="0032605E"/>
    <w:rsid w:val="003275D1"/>
    <w:rsid w:val="00330B2A"/>
    <w:rsid w:val="00331E17"/>
    <w:rsid w:val="00333063"/>
    <w:rsid w:val="003408E3"/>
    <w:rsid w:val="00343480"/>
    <w:rsid w:val="00345E89"/>
    <w:rsid w:val="00350C0F"/>
    <w:rsid w:val="003522A1"/>
    <w:rsid w:val="0035254B"/>
    <w:rsid w:val="00353555"/>
    <w:rsid w:val="003565D4"/>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C9"/>
    <w:rsid w:val="003C7176"/>
    <w:rsid w:val="003D0929"/>
    <w:rsid w:val="003D3015"/>
    <w:rsid w:val="003D4729"/>
    <w:rsid w:val="003D7DD6"/>
    <w:rsid w:val="003E5AAF"/>
    <w:rsid w:val="003E600D"/>
    <w:rsid w:val="003E64DF"/>
    <w:rsid w:val="003E6A5D"/>
    <w:rsid w:val="003F193A"/>
    <w:rsid w:val="003F4207"/>
    <w:rsid w:val="003F5C46"/>
    <w:rsid w:val="003F7CBB"/>
    <w:rsid w:val="003F7D34"/>
    <w:rsid w:val="004111DB"/>
    <w:rsid w:val="00412C8E"/>
    <w:rsid w:val="0041518D"/>
    <w:rsid w:val="0042221D"/>
    <w:rsid w:val="00424DD3"/>
    <w:rsid w:val="004269C5"/>
    <w:rsid w:val="00435939"/>
    <w:rsid w:val="00437CC7"/>
    <w:rsid w:val="00442B9C"/>
    <w:rsid w:val="00445EFA"/>
    <w:rsid w:val="0044738A"/>
    <w:rsid w:val="004473D3"/>
    <w:rsid w:val="00452231"/>
    <w:rsid w:val="00460C13"/>
    <w:rsid w:val="00461E53"/>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7C8E"/>
    <w:rsid w:val="004C06BC"/>
    <w:rsid w:val="004C3D3C"/>
    <w:rsid w:val="004D0EDC"/>
    <w:rsid w:val="004D1220"/>
    <w:rsid w:val="004D14B3"/>
    <w:rsid w:val="004D1529"/>
    <w:rsid w:val="004D2253"/>
    <w:rsid w:val="004D2E36"/>
    <w:rsid w:val="004D5514"/>
    <w:rsid w:val="004D56C3"/>
    <w:rsid w:val="004E0338"/>
    <w:rsid w:val="004E3156"/>
    <w:rsid w:val="004E4FF3"/>
    <w:rsid w:val="004E56A8"/>
    <w:rsid w:val="004F1120"/>
    <w:rsid w:val="004F3B55"/>
    <w:rsid w:val="004F4E46"/>
    <w:rsid w:val="004F6B7D"/>
    <w:rsid w:val="005015F6"/>
    <w:rsid w:val="005030C4"/>
    <w:rsid w:val="005031C5"/>
    <w:rsid w:val="00504FDC"/>
    <w:rsid w:val="005120CC"/>
    <w:rsid w:val="00512B7B"/>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B134E"/>
    <w:rsid w:val="005B2039"/>
    <w:rsid w:val="005B344F"/>
    <w:rsid w:val="005B3FBA"/>
    <w:rsid w:val="005B4A1D"/>
    <w:rsid w:val="005B674D"/>
    <w:rsid w:val="005C0CBE"/>
    <w:rsid w:val="005C1517"/>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2FFC"/>
    <w:rsid w:val="00614375"/>
    <w:rsid w:val="00615B0A"/>
    <w:rsid w:val="006168CF"/>
    <w:rsid w:val="00616BB4"/>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197E"/>
    <w:rsid w:val="00675AAF"/>
    <w:rsid w:val="0068031A"/>
    <w:rsid w:val="00681B2F"/>
    <w:rsid w:val="0068335F"/>
    <w:rsid w:val="00687217"/>
    <w:rsid w:val="00693302"/>
    <w:rsid w:val="0069640B"/>
    <w:rsid w:val="006A1B83"/>
    <w:rsid w:val="006A21CD"/>
    <w:rsid w:val="006A5918"/>
    <w:rsid w:val="006B21B2"/>
    <w:rsid w:val="006B4A4A"/>
    <w:rsid w:val="006C19B2"/>
    <w:rsid w:val="006C2689"/>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06B5"/>
    <w:rsid w:val="00781003"/>
    <w:rsid w:val="007911FD"/>
    <w:rsid w:val="00793930"/>
    <w:rsid w:val="00793DD1"/>
    <w:rsid w:val="00794FEC"/>
    <w:rsid w:val="007A003E"/>
    <w:rsid w:val="007A1965"/>
    <w:rsid w:val="007A2ED1"/>
    <w:rsid w:val="007A4BE6"/>
    <w:rsid w:val="007B0DC6"/>
    <w:rsid w:val="007B1094"/>
    <w:rsid w:val="007B1762"/>
    <w:rsid w:val="007B3320"/>
    <w:rsid w:val="007C0D0E"/>
    <w:rsid w:val="007C301F"/>
    <w:rsid w:val="007C4540"/>
    <w:rsid w:val="007C65AF"/>
    <w:rsid w:val="007D135D"/>
    <w:rsid w:val="007D730F"/>
    <w:rsid w:val="007D7CD8"/>
    <w:rsid w:val="007E3AA7"/>
    <w:rsid w:val="007E4771"/>
    <w:rsid w:val="007F6F3C"/>
    <w:rsid w:val="007F737D"/>
    <w:rsid w:val="0080308E"/>
    <w:rsid w:val="00805303"/>
    <w:rsid w:val="00806705"/>
    <w:rsid w:val="00806738"/>
    <w:rsid w:val="008216D5"/>
    <w:rsid w:val="008249CE"/>
    <w:rsid w:val="00831A50"/>
    <w:rsid w:val="00831B3C"/>
    <w:rsid w:val="00831C89"/>
    <w:rsid w:val="00832114"/>
    <w:rsid w:val="00834C46"/>
    <w:rsid w:val="00835ACD"/>
    <w:rsid w:val="0084093E"/>
    <w:rsid w:val="00841CE1"/>
    <w:rsid w:val="008473D8"/>
    <w:rsid w:val="008528DC"/>
    <w:rsid w:val="00852B8C"/>
    <w:rsid w:val="00854981"/>
    <w:rsid w:val="00864B2E"/>
    <w:rsid w:val="00865963"/>
    <w:rsid w:val="008711B0"/>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1A64"/>
    <w:rsid w:val="008F755D"/>
    <w:rsid w:val="008F7A39"/>
    <w:rsid w:val="009021E8"/>
    <w:rsid w:val="00902F06"/>
    <w:rsid w:val="00904677"/>
    <w:rsid w:val="00905EE2"/>
    <w:rsid w:val="00911440"/>
    <w:rsid w:val="00911712"/>
    <w:rsid w:val="00911B27"/>
    <w:rsid w:val="009170BE"/>
    <w:rsid w:val="00920B55"/>
    <w:rsid w:val="009262C9"/>
    <w:rsid w:val="00930EB9"/>
    <w:rsid w:val="00933DC7"/>
    <w:rsid w:val="009418F4"/>
    <w:rsid w:val="00942BBC"/>
    <w:rsid w:val="00944180"/>
    <w:rsid w:val="00944AA0"/>
    <w:rsid w:val="00947DA2"/>
    <w:rsid w:val="00951177"/>
    <w:rsid w:val="009519AE"/>
    <w:rsid w:val="009673E8"/>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65D3"/>
    <w:rsid w:val="009F7052"/>
    <w:rsid w:val="00A02668"/>
    <w:rsid w:val="00A02801"/>
    <w:rsid w:val="00A04384"/>
    <w:rsid w:val="00A06A39"/>
    <w:rsid w:val="00A07F58"/>
    <w:rsid w:val="00A131CB"/>
    <w:rsid w:val="00A14847"/>
    <w:rsid w:val="00A16D6D"/>
    <w:rsid w:val="00A21383"/>
    <w:rsid w:val="00A2199F"/>
    <w:rsid w:val="00A21B31"/>
    <w:rsid w:val="00A2360E"/>
    <w:rsid w:val="00A26E0C"/>
    <w:rsid w:val="00A32FCB"/>
    <w:rsid w:val="00A349A0"/>
    <w:rsid w:val="00A34C25"/>
    <w:rsid w:val="00A3507D"/>
    <w:rsid w:val="00A3717A"/>
    <w:rsid w:val="00A4088C"/>
    <w:rsid w:val="00A440F9"/>
    <w:rsid w:val="00A4456B"/>
    <w:rsid w:val="00A448D4"/>
    <w:rsid w:val="00A452E0"/>
    <w:rsid w:val="00A51EA5"/>
    <w:rsid w:val="00A53742"/>
    <w:rsid w:val="00A557A1"/>
    <w:rsid w:val="00A63059"/>
    <w:rsid w:val="00A63AE3"/>
    <w:rsid w:val="00A64BA2"/>
    <w:rsid w:val="00A651A4"/>
    <w:rsid w:val="00A71361"/>
    <w:rsid w:val="00A718F0"/>
    <w:rsid w:val="00A746E2"/>
    <w:rsid w:val="00A81FF2"/>
    <w:rsid w:val="00A83904"/>
    <w:rsid w:val="00A90A79"/>
    <w:rsid w:val="00A96B30"/>
    <w:rsid w:val="00A96B31"/>
    <w:rsid w:val="00AA59B5"/>
    <w:rsid w:val="00AA7777"/>
    <w:rsid w:val="00AA7B84"/>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534"/>
    <w:rsid w:val="00AF7E86"/>
    <w:rsid w:val="00B001EB"/>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2BE3"/>
    <w:rsid w:val="00B73B80"/>
    <w:rsid w:val="00B770C7"/>
    <w:rsid w:val="00B80F26"/>
    <w:rsid w:val="00B822BD"/>
    <w:rsid w:val="00B842F4"/>
    <w:rsid w:val="00B91A7B"/>
    <w:rsid w:val="00B929DD"/>
    <w:rsid w:val="00B93AF6"/>
    <w:rsid w:val="00B95405"/>
    <w:rsid w:val="00B9626B"/>
    <w:rsid w:val="00B963F1"/>
    <w:rsid w:val="00BA020A"/>
    <w:rsid w:val="00BB02A4"/>
    <w:rsid w:val="00BB1270"/>
    <w:rsid w:val="00BB1E44"/>
    <w:rsid w:val="00BB5267"/>
    <w:rsid w:val="00BB52B8"/>
    <w:rsid w:val="00BB59D8"/>
    <w:rsid w:val="00BB7E69"/>
    <w:rsid w:val="00BC0E51"/>
    <w:rsid w:val="00BC3C1F"/>
    <w:rsid w:val="00BC64EB"/>
    <w:rsid w:val="00BC7CE7"/>
    <w:rsid w:val="00BD295E"/>
    <w:rsid w:val="00BD4664"/>
    <w:rsid w:val="00BE1193"/>
    <w:rsid w:val="00BF4849"/>
    <w:rsid w:val="00BF4EA7"/>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5A78"/>
    <w:rsid w:val="00CD5D85"/>
    <w:rsid w:val="00CD7345"/>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1B94"/>
    <w:rsid w:val="00D64739"/>
    <w:rsid w:val="00D71F99"/>
    <w:rsid w:val="00D73CA4"/>
    <w:rsid w:val="00D73D71"/>
    <w:rsid w:val="00D74396"/>
    <w:rsid w:val="00D80284"/>
    <w:rsid w:val="00D81F71"/>
    <w:rsid w:val="00D8642D"/>
    <w:rsid w:val="00D90A5E"/>
    <w:rsid w:val="00D91A68"/>
    <w:rsid w:val="00D95A68"/>
    <w:rsid w:val="00D9668D"/>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758A"/>
    <w:rsid w:val="00EB096F"/>
    <w:rsid w:val="00EB199F"/>
    <w:rsid w:val="00EB27C4"/>
    <w:rsid w:val="00EB5387"/>
    <w:rsid w:val="00EB5C10"/>
    <w:rsid w:val="00EB7322"/>
    <w:rsid w:val="00EC0FE9"/>
    <w:rsid w:val="00EC198B"/>
    <w:rsid w:val="00EC237F"/>
    <w:rsid w:val="00EC426D"/>
    <w:rsid w:val="00EC571B"/>
    <w:rsid w:val="00EC57D7"/>
    <w:rsid w:val="00EC6385"/>
    <w:rsid w:val="00ED1DE9"/>
    <w:rsid w:val="00ED23D4"/>
    <w:rsid w:val="00ED5E0B"/>
    <w:rsid w:val="00EE277C"/>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C1AA8"/>
    <w:rsid w:val="00FC4707"/>
    <w:rsid w:val="00FD03FE"/>
    <w:rsid w:val="00FD126E"/>
    <w:rsid w:val="00FD3C36"/>
    <w:rsid w:val="00FD4D81"/>
    <w:rsid w:val="00FD7498"/>
    <w:rsid w:val="00FD7FB3"/>
    <w:rsid w:val="00FE3CF1"/>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5E9718"/>
  <w15:docId w15:val="{DF317284-1DFA-429C-AAC4-C24903D9D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902F06"/>
    <w:pPr>
      <w:spacing w:line="276" w:lineRule="auto"/>
      <w:ind w:left="284" w:hanging="284"/>
    </w:pPr>
    <w:rPr>
      <w:sz w:val="22"/>
      <w:szCs w:val="20"/>
    </w:rPr>
  </w:style>
  <w:style w:type="character" w:customStyle="1" w:styleId="FootnoteTextChar">
    <w:name w:val="Footnote Text Char"/>
    <w:basedOn w:val="DefaultParagraphFont"/>
    <w:link w:val="FootnoteText"/>
    <w:rsid w:val="00902F06"/>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NormalWeb">
    <w:name w:val="Normal (Web)"/>
    <w:basedOn w:val="Normal"/>
    <w:uiPriority w:val="99"/>
    <w:unhideWhenUsed/>
    <w:rsid w:val="008F1A64"/>
    <w:pPr>
      <w:spacing w:before="100" w:beforeAutospacing="1" w:after="100" w:afterAutospacing="1" w:line="240" w:lineRule="auto"/>
    </w:pPr>
    <w:rPr>
      <w:rFonts w:eastAsia="Times New Roman"/>
      <w:lang w:val="en-AU"/>
    </w:rPr>
  </w:style>
  <w:style w:type="character" w:customStyle="1" w:styleId="apple-converted-space">
    <w:name w:val="apple-converted-space"/>
    <w:basedOn w:val="DefaultParagraphFont"/>
    <w:rsid w:val="008F1A64"/>
  </w:style>
  <w:style w:type="character" w:styleId="Emphasis">
    <w:name w:val="Emphasis"/>
    <w:basedOn w:val="DefaultParagraphFont"/>
    <w:uiPriority w:val="20"/>
    <w:qFormat/>
    <w:rsid w:val="008F1A64"/>
    <w:rPr>
      <w:i/>
      <w:iCs/>
    </w:rPr>
  </w:style>
  <w:style w:type="character" w:customStyle="1" w:styleId="i">
    <w:name w:val="i"/>
    <w:basedOn w:val="DefaultParagraphFont"/>
    <w:rsid w:val="00B96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78795">
      <w:bodyDiv w:val="1"/>
      <w:marLeft w:val="0"/>
      <w:marRight w:val="0"/>
      <w:marTop w:val="0"/>
      <w:marBottom w:val="0"/>
      <w:divBdr>
        <w:top w:val="none" w:sz="0" w:space="0" w:color="auto"/>
        <w:left w:val="none" w:sz="0" w:space="0" w:color="auto"/>
        <w:bottom w:val="none" w:sz="0" w:space="0" w:color="auto"/>
        <w:right w:val="none" w:sz="0" w:space="0" w:color="auto"/>
      </w:divBdr>
      <w:divsChild>
        <w:div w:id="306518164">
          <w:marLeft w:val="0"/>
          <w:marRight w:val="0"/>
          <w:marTop w:val="0"/>
          <w:marBottom w:val="0"/>
          <w:divBdr>
            <w:top w:val="none" w:sz="0" w:space="0" w:color="auto"/>
            <w:left w:val="none" w:sz="0" w:space="0" w:color="auto"/>
            <w:bottom w:val="none" w:sz="0" w:space="0" w:color="auto"/>
            <w:right w:val="none" w:sz="0" w:space="0" w:color="auto"/>
          </w:divBdr>
          <w:divsChild>
            <w:div w:id="2034384190">
              <w:marLeft w:val="0"/>
              <w:marRight w:val="0"/>
              <w:marTop w:val="0"/>
              <w:marBottom w:val="0"/>
              <w:divBdr>
                <w:top w:val="none" w:sz="0" w:space="0" w:color="auto"/>
                <w:left w:val="none" w:sz="0" w:space="0" w:color="auto"/>
                <w:bottom w:val="none" w:sz="0" w:space="0" w:color="auto"/>
                <w:right w:val="none" w:sz="0" w:space="0" w:color="auto"/>
              </w:divBdr>
              <w:divsChild>
                <w:div w:id="188771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99">
      <w:bodyDiv w:val="1"/>
      <w:marLeft w:val="0"/>
      <w:marRight w:val="0"/>
      <w:marTop w:val="0"/>
      <w:marBottom w:val="0"/>
      <w:divBdr>
        <w:top w:val="none" w:sz="0" w:space="0" w:color="auto"/>
        <w:left w:val="none" w:sz="0" w:space="0" w:color="auto"/>
        <w:bottom w:val="none" w:sz="0" w:space="0" w:color="auto"/>
        <w:right w:val="none" w:sz="0" w:space="0" w:color="auto"/>
      </w:divBdr>
    </w:div>
    <w:div w:id="358942918">
      <w:bodyDiv w:val="1"/>
      <w:marLeft w:val="0"/>
      <w:marRight w:val="0"/>
      <w:marTop w:val="0"/>
      <w:marBottom w:val="0"/>
      <w:divBdr>
        <w:top w:val="none" w:sz="0" w:space="0" w:color="auto"/>
        <w:left w:val="none" w:sz="0" w:space="0" w:color="auto"/>
        <w:bottom w:val="none" w:sz="0" w:space="0" w:color="auto"/>
        <w:right w:val="none" w:sz="0" w:space="0" w:color="auto"/>
      </w:divBdr>
    </w:div>
    <w:div w:id="363217029">
      <w:bodyDiv w:val="1"/>
      <w:marLeft w:val="0"/>
      <w:marRight w:val="0"/>
      <w:marTop w:val="0"/>
      <w:marBottom w:val="0"/>
      <w:divBdr>
        <w:top w:val="none" w:sz="0" w:space="0" w:color="auto"/>
        <w:left w:val="none" w:sz="0" w:space="0" w:color="auto"/>
        <w:bottom w:val="none" w:sz="0" w:space="0" w:color="auto"/>
        <w:right w:val="none" w:sz="0" w:space="0" w:color="auto"/>
      </w:divBdr>
    </w:div>
    <w:div w:id="406847795">
      <w:bodyDiv w:val="1"/>
      <w:marLeft w:val="0"/>
      <w:marRight w:val="0"/>
      <w:marTop w:val="0"/>
      <w:marBottom w:val="0"/>
      <w:divBdr>
        <w:top w:val="none" w:sz="0" w:space="0" w:color="auto"/>
        <w:left w:val="none" w:sz="0" w:space="0" w:color="auto"/>
        <w:bottom w:val="none" w:sz="0" w:space="0" w:color="auto"/>
        <w:right w:val="none" w:sz="0" w:space="0" w:color="auto"/>
      </w:divBdr>
    </w:div>
    <w:div w:id="825587811">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13554072">
      <w:bodyDiv w:val="1"/>
      <w:marLeft w:val="0"/>
      <w:marRight w:val="0"/>
      <w:marTop w:val="0"/>
      <w:marBottom w:val="0"/>
      <w:divBdr>
        <w:top w:val="none" w:sz="0" w:space="0" w:color="auto"/>
        <w:left w:val="none" w:sz="0" w:space="0" w:color="auto"/>
        <w:bottom w:val="none" w:sz="0" w:space="0" w:color="auto"/>
        <w:right w:val="none" w:sz="0" w:space="0" w:color="auto"/>
      </w:divBdr>
    </w:div>
    <w:div w:id="1114398919">
      <w:bodyDiv w:val="1"/>
      <w:marLeft w:val="0"/>
      <w:marRight w:val="0"/>
      <w:marTop w:val="0"/>
      <w:marBottom w:val="0"/>
      <w:divBdr>
        <w:top w:val="none" w:sz="0" w:space="0" w:color="auto"/>
        <w:left w:val="none" w:sz="0" w:space="0" w:color="auto"/>
        <w:bottom w:val="none" w:sz="0" w:space="0" w:color="auto"/>
        <w:right w:val="none" w:sz="0" w:space="0" w:color="auto"/>
      </w:divBdr>
    </w:div>
    <w:div w:id="1386098110">
      <w:bodyDiv w:val="1"/>
      <w:marLeft w:val="0"/>
      <w:marRight w:val="0"/>
      <w:marTop w:val="0"/>
      <w:marBottom w:val="0"/>
      <w:divBdr>
        <w:top w:val="none" w:sz="0" w:space="0" w:color="auto"/>
        <w:left w:val="none" w:sz="0" w:space="0" w:color="auto"/>
        <w:bottom w:val="none" w:sz="0" w:space="0" w:color="auto"/>
        <w:right w:val="none" w:sz="0" w:space="0" w:color="auto"/>
      </w:divBdr>
    </w:div>
    <w:div w:id="1430661207">
      <w:bodyDiv w:val="1"/>
      <w:marLeft w:val="0"/>
      <w:marRight w:val="0"/>
      <w:marTop w:val="0"/>
      <w:marBottom w:val="0"/>
      <w:divBdr>
        <w:top w:val="none" w:sz="0" w:space="0" w:color="auto"/>
        <w:left w:val="none" w:sz="0" w:space="0" w:color="auto"/>
        <w:bottom w:val="none" w:sz="0" w:space="0" w:color="auto"/>
        <w:right w:val="none" w:sz="0" w:space="0" w:color="auto"/>
      </w:divBdr>
    </w:div>
    <w:div w:id="1447240179">
      <w:bodyDiv w:val="1"/>
      <w:marLeft w:val="0"/>
      <w:marRight w:val="0"/>
      <w:marTop w:val="0"/>
      <w:marBottom w:val="0"/>
      <w:divBdr>
        <w:top w:val="none" w:sz="0" w:space="0" w:color="auto"/>
        <w:left w:val="none" w:sz="0" w:space="0" w:color="auto"/>
        <w:bottom w:val="none" w:sz="0" w:space="0" w:color="auto"/>
        <w:right w:val="none" w:sz="0" w:space="0" w:color="auto"/>
      </w:divBdr>
    </w:div>
    <w:div w:id="1721321231">
      <w:bodyDiv w:val="1"/>
      <w:marLeft w:val="0"/>
      <w:marRight w:val="0"/>
      <w:marTop w:val="0"/>
      <w:marBottom w:val="0"/>
      <w:divBdr>
        <w:top w:val="none" w:sz="0" w:space="0" w:color="auto"/>
        <w:left w:val="none" w:sz="0" w:space="0" w:color="auto"/>
        <w:bottom w:val="none" w:sz="0" w:space="0" w:color="auto"/>
        <w:right w:val="none" w:sz="0" w:space="0" w:color="auto"/>
      </w:divBdr>
    </w:div>
    <w:div w:id="1990936189">
      <w:bodyDiv w:val="1"/>
      <w:marLeft w:val="0"/>
      <w:marRight w:val="0"/>
      <w:marTop w:val="0"/>
      <w:marBottom w:val="0"/>
      <w:divBdr>
        <w:top w:val="none" w:sz="0" w:space="0" w:color="auto"/>
        <w:left w:val="none" w:sz="0" w:space="0" w:color="auto"/>
        <w:bottom w:val="none" w:sz="0" w:space="0" w:color="auto"/>
        <w:right w:val="none" w:sz="0" w:space="0" w:color="auto"/>
      </w:divBdr>
    </w:div>
    <w:div w:id="202146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el%20ena\OneDrive%20-%20Universitetet%20i%20Oslo\Documents\Work\Submissions%20Publications\The%20Polar%20Journal%2021\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7933C-1811-4392-B8AE-2FE0032B5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0</TotalTime>
  <Pages>2</Pages>
  <Words>381</Words>
  <Characters>2024</Characters>
  <Application>Microsoft Office Word</Application>
  <DocSecurity>4</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TF_Template_Word_Windows_2010</vt:lpstr>
      <vt:lpstr>TF_Template_Word_Mac_2008</vt:lpstr>
    </vt:vector>
  </TitlesOfParts>
  <Company>Informa Plc</Company>
  <LinksUpToDate>false</LinksUpToDate>
  <CharactersWithSpaces>2401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yel ena</dc:creator>
  <cp:lastModifiedBy>Ekaterina Zmyvalova</cp:lastModifiedBy>
  <cp:revision>2</cp:revision>
  <cp:lastPrinted>2011-07-22T14:54:00Z</cp:lastPrinted>
  <dcterms:created xsi:type="dcterms:W3CDTF">2024-10-09T11:03:00Z</dcterms:created>
  <dcterms:modified xsi:type="dcterms:W3CDTF">2024-10-09T11:03:00Z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http://www.zotero.org/styles/oscola</vt:lpwstr>
  </property>
  <property fmtid="{D5CDD505-2E9C-101B-9397-08002B2CF9AE}" pid="19" name="Mendeley Recent Style Name 8_1">
    <vt:lpwstr>OSCOLA (Oxford University Standard for Citation of Legal Authorities)</vt:lpwstr>
  </property>
  <property fmtid="{D5CDD505-2E9C-101B-9397-08002B2CF9AE}" pid="20" name="Mendeley Recent Style Id 9_1">
    <vt:lpwstr>http://www.zotero.org/styles/university-of-york-oscola</vt:lpwstr>
  </property>
  <property fmtid="{D5CDD505-2E9C-101B-9397-08002B2CF9AE}" pid="21" name="Mendeley Recent Style Name 9_1">
    <vt:lpwstr>University of York - OSCOLA</vt:lpwstr>
  </property>
</Properties>
</file>